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36E48">
        <w:tblPrEx>
          <w:tblCellMar>
            <w:top w:w="0" w:type="dxa"/>
            <w:bottom w:w="0" w:type="dxa"/>
          </w:tblCellMar>
        </w:tblPrEx>
        <w:trPr>
          <w:tblCellSpacing w:w="60" w:type="dxa"/>
        </w:trPr>
        <w:tc>
          <w:tcPr>
            <w:tcW w:w="1200" w:type="pct"/>
            <w:shd w:val="clear" w:color="auto" w:fill="E7F0F9"/>
          </w:tcPr>
          <w:p w:rsidR="00736E48" w:rsidRDefault="00F62C3A">
            <w:pPr>
              <w:spacing w:after="0" w:line="240" w:lineRule="auto"/>
            </w:pPr>
            <w:bookmarkStart w:id="0" w:name="_GoBack"/>
            <w:bookmarkEnd w:id="0"/>
            <w:r>
              <w:rPr>
                <w:b/>
              </w:rPr>
              <w:t>RKP broj</w:t>
            </w:r>
          </w:p>
        </w:tc>
        <w:tc>
          <w:tcPr>
            <w:tcW w:w="0" w:type="auto"/>
            <w:shd w:val="clear" w:color="auto" w:fill="E7F0F9"/>
          </w:tcPr>
          <w:p w:rsidR="00736E48" w:rsidRDefault="00F62C3A">
            <w:pPr>
              <w:spacing w:after="0" w:line="240" w:lineRule="auto"/>
            </w:pPr>
            <w:r>
              <w:t>11898</w:t>
            </w:r>
          </w:p>
        </w:tc>
      </w:tr>
      <w:tr w:rsidR="00736E48">
        <w:tblPrEx>
          <w:tblCellMar>
            <w:top w:w="0" w:type="dxa"/>
            <w:bottom w:w="0" w:type="dxa"/>
          </w:tblCellMar>
        </w:tblPrEx>
        <w:trPr>
          <w:tblCellSpacing w:w="60" w:type="dxa"/>
        </w:trPr>
        <w:tc>
          <w:tcPr>
            <w:tcW w:w="1200" w:type="pct"/>
            <w:shd w:val="clear" w:color="auto" w:fill="E7F0F9"/>
          </w:tcPr>
          <w:p w:rsidR="00736E48" w:rsidRDefault="00F62C3A">
            <w:pPr>
              <w:spacing w:after="0" w:line="240" w:lineRule="auto"/>
            </w:pPr>
            <w:r>
              <w:rPr>
                <w:b/>
              </w:rPr>
              <w:t>Naziv obveznika</w:t>
            </w:r>
          </w:p>
        </w:tc>
        <w:tc>
          <w:tcPr>
            <w:tcW w:w="0" w:type="auto"/>
            <w:shd w:val="clear" w:color="auto" w:fill="E7F0F9"/>
          </w:tcPr>
          <w:p w:rsidR="00736E48" w:rsidRDefault="00F62C3A">
            <w:pPr>
              <w:spacing w:after="0" w:line="240" w:lineRule="auto"/>
            </w:pPr>
            <w:r>
              <w:t xml:space="preserve">Osnovna škola Jakova Gotovca </w:t>
            </w:r>
          </w:p>
        </w:tc>
      </w:tr>
      <w:tr w:rsidR="00736E48">
        <w:tblPrEx>
          <w:tblCellMar>
            <w:top w:w="0" w:type="dxa"/>
            <w:bottom w:w="0" w:type="dxa"/>
          </w:tblCellMar>
        </w:tblPrEx>
        <w:trPr>
          <w:tblCellSpacing w:w="60" w:type="dxa"/>
        </w:trPr>
        <w:tc>
          <w:tcPr>
            <w:tcW w:w="1200" w:type="pct"/>
            <w:shd w:val="clear" w:color="auto" w:fill="E7F0F9"/>
          </w:tcPr>
          <w:p w:rsidR="00736E48" w:rsidRDefault="00F62C3A">
            <w:pPr>
              <w:spacing w:after="0" w:line="240" w:lineRule="auto"/>
            </w:pPr>
            <w:r>
              <w:rPr>
                <w:b/>
              </w:rPr>
              <w:t>Razina</w:t>
            </w:r>
          </w:p>
        </w:tc>
        <w:tc>
          <w:tcPr>
            <w:tcW w:w="0" w:type="auto"/>
            <w:shd w:val="clear" w:color="auto" w:fill="E7F0F9"/>
          </w:tcPr>
          <w:p w:rsidR="00736E48" w:rsidRDefault="00F62C3A">
            <w:pPr>
              <w:spacing w:after="0" w:line="240" w:lineRule="auto"/>
            </w:pPr>
            <w:r>
              <w:t>31</w:t>
            </w:r>
          </w:p>
        </w:tc>
      </w:tr>
    </w:tbl>
    <w:p w:rsidR="00736E48" w:rsidRDefault="00F62C3A">
      <w:r>
        <w:br/>
      </w:r>
    </w:p>
    <w:p w:rsidR="00736E48" w:rsidRDefault="00F62C3A">
      <w:pPr>
        <w:spacing w:line="240" w:lineRule="auto"/>
        <w:jc w:val="center"/>
      </w:pPr>
      <w:r>
        <w:rPr>
          <w:b/>
          <w:sz w:val="28"/>
        </w:rPr>
        <w:t>BILJEŠKE UZ FINANCIJSKE IZVJEŠTAJE</w:t>
      </w:r>
    </w:p>
    <w:p w:rsidR="00736E48" w:rsidRDefault="00F62C3A">
      <w:pPr>
        <w:spacing w:line="240" w:lineRule="auto"/>
        <w:jc w:val="center"/>
      </w:pPr>
      <w:r>
        <w:rPr>
          <w:b/>
          <w:sz w:val="28"/>
        </w:rPr>
        <w:t>ZA RAZDOBLJE</w:t>
      </w:r>
    </w:p>
    <w:p w:rsidR="00736E48" w:rsidRDefault="00F62C3A">
      <w:pPr>
        <w:spacing w:line="240" w:lineRule="auto"/>
        <w:jc w:val="center"/>
      </w:pPr>
      <w:r>
        <w:rPr>
          <w:b/>
          <w:sz w:val="28"/>
        </w:rPr>
        <w:t>I - XII 2025.</w:t>
      </w:r>
    </w:p>
    <w:p w:rsidR="00736E48" w:rsidRDefault="00736E48"/>
    <w:p w:rsidR="00736E48" w:rsidRDefault="00F62C3A">
      <w:pPr>
        <w:keepNext/>
        <w:spacing w:line="240" w:lineRule="auto"/>
        <w:jc w:val="center"/>
      </w:pPr>
      <w:r>
        <w:rPr>
          <w:b/>
          <w:sz w:val="28"/>
        </w:rPr>
        <w:t>Izvještaj o prihodima i rashodima, primicima i izdacima</w:t>
      </w:r>
    </w:p>
    <w:p w:rsidR="00736E48" w:rsidRDefault="00F62C3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6</w:t>
            </w:r>
          </w:p>
        </w:tc>
        <w:tc>
          <w:tcPr>
            <w:tcW w:w="3180" w:type="dxa"/>
            <w:tcMar>
              <w:top w:w="0" w:type="dxa"/>
              <w:bottom w:w="0" w:type="dxa"/>
            </w:tcMar>
            <w:vAlign w:val="center"/>
          </w:tcPr>
          <w:p w:rsidR="00736E48" w:rsidRDefault="00F62C3A">
            <w:pPr>
              <w:keepNext/>
              <w:keepLines/>
              <w:spacing w:after="0" w:line="240" w:lineRule="auto"/>
            </w:pPr>
            <w:r>
              <w:rPr>
                <w:sz w:val="18"/>
              </w:rPr>
              <w:t>PRIHODI POSLOVANJA (šifre 61+62+63+64+65+66+67+68)</w:t>
            </w:r>
          </w:p>
        </w:tc>
        <w:tc>
          <w:tcPr>
            <w:tcW w:w="700" w:type="dxa"/>
            <w:tcMar>
              <w:top w:w="0" w:type="dxa"/>
              <w:bottom w:w="0" w:type="dxa"/>
            </w:tcMar>
            <w:vAlign w:val="center"/>
          </w:tcPr>
          <w:p w:rsidR="00736E48" w:rsidRDefault="00F62C3A">
            <w:pPr>
              <w:keepNext/>
              <w:keepLines/>
              <w:spacing w:after="0" w:line="240" w:lineRule="auto"/>
            </w:pPr>
            <w:r>
              <w:rPr>
                <w:sz w:val="18"/>
              </w:rPr>
              <w:t>6</w:t>
            </w:r>
          </w:p>
        </w:tc>
        <w:tc>
          <w:tcPr>
            <w:tcW w:w="1860" w:type="dxa"/>
            <w:tcMar>
              <w:top w:w="0" w:type="dxa"/>
              <w:bottom w:w="0" w:type="dxa"/>
            </w:tcMar>
            <w:vAlign w:val="center"/>
          </w:tcPr>
          <w:p w:rsidR="00736E48" w:rsidRDefault="00F62C3A">
            <w:pPr>
              <w:keepNext/>
              <w:keepLines/>
              <w:spacing w:after="0" w:line="240" w:lineRule="auto"/>
              <w:jc w:val="right"/>
            </w:pPr>
            <w:r>
              <w:rPr>
                <w:sz w:val="18"/>
              </w:rPr>
              <w:t>1.023.713,54</w:t>
            </w:r>
          </w:p>
        </w:tc>
        <w:tc>
          <w:tcPr>
            <w:tcW w:w="1860" w:type="dxa"/>
            <w:tcMar>
              <w:top w:w="0" w:type="dxa"/>
              <w:bottom w:w="0" w:type="dxa"/>
            </w:tcMar>
            <w:vAlign w:val="center"/>
          </w:tcPr>
          <w:p w:rsidR="00736E48" w:rsidRDefault="00F62C3A">
            <w:pPr>
              <w:keepNext/>
              <w:keepLines/>
              <w:spacing w:after="0" w:line="240" w:lineRule="auto"/>
              <w:jc w:val="right"/>
            </w:pPr>
            <w:r>
              <w:rPr>
                <w:sz w:val="18"/>
              </w:rPr>
              <w:t>1.072.356,77</w:t>
            </w:r>
          </w:p>
        </w:tc>
        <w:tc>
          <w:tcPr>
            <w:tcW w:w="700" w:type="dxa"/>
            <w:tcMar>
              <w:top w:w="0" w:type="dxa"/>
              <w:bottom w:w="0" w:type="dxa"/>
            </w:tcMar>
            <w:vAlign w:val="center"/>
          </w:tcPr>
          <w:p w:rsidR="00736E48" w:rsidRDefault="00F62C3A">
            <w:pPr>
              <w:keepNext/>
              <w:keepLines/>
              <w:spacing w:after="0" w:line="240" w:lineRule="auto"/>
              <w:jc w:val="right"/>
            </w:pPr>
            <w:r>
              <w:rPr>
                <w:sz w:val="18"/>
              </w:rPr>
              <w:t>104,8</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w:t>
            </w:r>
          </w:p>
        </w:tc>
        <w:tc>
          <w:tcPr>
            <w:tcW w:w="3180" w:type="dxa"/>
            <w:tcMar>
              <w:top w:w="0" w:type="dxa"/>
              <w:bottom w:w="0" w:type="dxa"/>
            </w:tcMar>
            <w:vAlign w:val="center"/>
          </w:tcPr>
          <w:p w:rsidR="00736E48" w:rsidRDefault="00F62C3A">
            <w:pPr>
              <w:keepNext/>
              <w:keepLines/>
              <w:spacing w:after="0" w:line="240" w:lineRule="auto"/>
            </w:pPr>
            <w:r>
              <w:rPr>
                <w:sz w:val="18"/>
              </w:rPr>
              <w:t>RASHODI POSLOVANJA (šifre 31+32+34+35+36+37+38)</w:t>
            </w:r>
          </w:p>
        </w:tc>
        <w:tc>
          <w:tcPr>
            <w:tcW w:w="700" w:type="dxa"/>
            <w:tcMar>
              <w:top w:w="0" w:type="dxa"/>
              <w:bottom w:w="0" w:type="dxa"/>
            </w:tcMar>
            <w:vAlign w:val="center"/>
          </w:tcPr>
          <w:p w:rsidR="00736E48" w:rsidRDefault="00F62C3A">
            <w:pPr>
              <w:keepNext/>
              <w:keepLines/>
              <w:spacing w:after="0" w:line="240" w:lineRule="auto"/>
            </w:pPr>
            <w:r>
              <w:rPr>
                <w:sz w:val="18"/>
              </w:rPr>
              <w:t>3</w:t>
            </w:r>
          </w:p>
        </w:tc>
        <w:tc>
          <w:tcPr>
            <w:tcW w:w="1860" w:type="dxa"/>
            <w:tcMar>
              <w:top w:w="0" w:type="dxa"/>
              <w:bottom w:w="0" w:type="dxa"/>
            </w:tcMar>
            <w:vAlign w:val="center"/>
          </w:tcPr>
          <w:p w:rsidR="00736E48" w:rsidRDefault="00F62C3A">
            <w:pPr>
              <w:keepNext/>
              <w:keepLines/>
              <w:spacing w:after="0" w:line="240" w:lineRule="auto"/>
              <w:jc w:val="right"/>
            </w:pPr>
            <w:r>
              <w:rPr>
                <w:sz w:val="18"/>
              </w:rPr>
              <w:t>1.004.115,22</w:t>
            </w:r>
          </w:p>
        </w:tc>
        <w:tc>
          <w:tcPr>
            <w:tcW w:w="1860" w:type="dxa"/>
            <w:tcMar>
              <w:top w:w="0" w:type="dxa"/>
              <w:bottom w:w="0" w:type="dxa"/>
            </w:tcMar>
            <w:vAlign w:val="center"/>
          </w:tcPr>
          <w:p w:rsidR="00736E48" w:rsidRDefault="00F62C3A">
            <w:pPr>
              <w:keepNext/>
              <w:keepLines/>
              <w:spacing w:after="0" w:line="240" w:lineRule="auto"/>
              <w:jc w:val="right"/>
            </w:pPr>
            <w:r>
              <w:rPr>
                <w:sz w:val="18"/>
              </w:rPr>
              <w:t>1.146.583,14</w:t>
            </w:r>
          </w:p>
        </w:tc>
        <w:tc>
          <w:tcPr>
            <w:tcW w:w="700" w:type="dxa"/>
            <w:tcMar>
              <w:top w:w="0" w:type="dxa"/>
              <w:bottom w:w="0" w:type="dxa"/>
            </w:tcMar>
            <w:vAlign w:val="center"/>
          </w:tcPr>
          <w:p w:rsidR="00736E48" w:rsidRDefault="00F62C3A">
            <w:pPr>
              <w:keepNext/>
              <w:keepLines/>
              <w:spacing w:after="0" w:line="240" w:lineRule="auto"/>
              <w:jc w:val="right"/>
            </w:pPr>
            <w:r>
              <w:rPr>
                <w:sz w:val="18"/>
              </w:rPr>
              <w:t>114,2</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736E48">
            <w:pPr>
              <w:keepNext/>
              <w:keepLines/>
              <w:spacing w:after="0" w:line="240" w:lineRule="auto"/>
            </w:pPr>
          </w:p>
        </w:tc>
        <w:tc>
          <w:tcPr>
            <w:tcW w:w="3180" w:type="dxa"/>
            <w:tcMar>
              <w:top w:w="0" w:type="dxa"/>
              <w:bottom w:w="0" w:type="dxa"/>
            </w:tcMar>
            <w:vAlign w:val="center"/>
          </w:tcPr>
          <w:p w:rsidR="00736E48" w:rsidRDefault="00F62C3A">
            <w:pPr>
              <w:keepNext/>
              <w:keepLines/>
              <w:spacing w:after="0" w:line="240" w:lineRule="auto"/>
            </w:pPr>
            <w:r>
              <w:rPr>
                <w:b/>
                <w:sz w:val="18"/>
              </w:rPr>
              <w:t>MANJAK PRIHODA POSLOVANJA (šifre Z005-6)</w:t>
            </w:r>
          </w:p>
        </w:tc>
        <w:tc>
          <w:tcPr>
            <w:tcW w:w="700" w:type="dxa"/>
            <w:tcMar>
              <w:top w:w="0" w:type="dxa"/>
              <w:bottom w:w="0" w:type="dxa"/>
            </w:tcMar>
            <w:vAlign w:val="center"/>
          </w:tcPr>
          <w:p w:rsidR="00736E48" w:rsidRDefault="00F62C3A">
            <w:pPr>
              <w:keepNext/>
              <w:keepLines/>
              <w:spacing w:after="0" w:line="240" w:lineRule="auto"/>
            </w:pPr>
            <w:r>
              <w:rPr>
                <w:b/>
                <w:sz w:val="18"/>
              </w:rPr>
              <w:t>Y001</w:t>
            </w:r>
          </w:p>
        </w:tc>
        <w:tc>
          <w:tcPr>
            <w:tcW w:w="1860" w:type="dxa"/>
            <w:tcMar>
              <w:top w:w="0" w:type="dxa"/>
              <w:bottom w:w="0" w:type="dxa"/>
            </w:tcMar>
            <w:vAlign w:val="center"/>
          </w:tcPr>
          <w:p w:rsidR="00736E48" w:rsidRDefault="00F62C3A">
            <w:pPr>
              <w:keepNext/>
              <w:keepLines/>
              <w:spacing w:after="0" w:line="240" w:lineRule="auto"/>
              <w:jc w:val="right"/>
            </w:pPr>
            <w:r>
              <w:rPr>
                <w:b/>
                <w:sz w:val="18"/>
              </w:rPr>
              <w:t>0,00</w:t>
            </w:r>
          </w:p>
        </w:tc>
        <w:tc>
          <w:tcPr>
            <w:tcW w:w="1860" w:type="dxa"/>
            <w:tcMar>
              <w:top w:w="0" w:type="dxa"/>
              <w:bottom w:w="0" w:type="dxa"/>
            </w:tcMar>
            <w:vAlign w:val="center"/>
          </w:tcPr>
          <w:p w:rsidR="00736E48" w:rsidRDefault="00F62C3A">
            <w:pPr>
              <w:keepNext/>
              <w:keepLines/>
              <w:spacing w:after="0" w:line="240" w:lineRule="auto"/>
              <w:jc w:val="right"/>
            </w:pPr>
            <w:r>
              <w:rPr>
                <w:b/>
                <w:sz w:val="18"/>
              </w:rPr>
              <w:t>74.226,37</w:t>
            </w:r>
          </w:p>
        </w:tc>
        <w:tc>
          <w:tcPr>
            <w:tcW w:w="700" w:type="dxa"/>
            <w:tcMar>
              <w:top w:w="0" w:type="dxa"/>
              <w:bottom w:w="0" w:type="dxa"/>
            </w:tcMar>
            <w:vAlign w:val="center"/>
          </w:tcPr>
          <w:p w:rsidR="00736E48" w:rsidRDefault="00F62C3A">
            <w:pPr>
              <w:keepNext/>
              <w:keepLines/>
              <w:spacing w:after="0" w:line="240" w:lineRule="auto"/>
              <w:jc w:val="right"/>
            </w:pPr>
            <w:r>
              <w:rPr>
                <w:b/>
                <w:sz w:val="18"/>
              </w:rPr>
              <w:t>-</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7</w:t>
            </w:r>
          </w:p>
        </w:tc>
        <w:tc>
          <w:tcPr>
            <w:tcW w:w="3180" w:type="dxa"/>
            <w:tcMar>
              <w:top w:w="0" w:type="dxa"/>
              <w:bottom w:w="0" w:type="dxa"/>
            </w:tcMar>
            <w:vAlign w:val="center"/>
          </w:tcPr>
          <w:p w:rsidR="00736E48" w:rsidRDefault="00F62C3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36E48" w:rsidRDefault="00F62C3A">
            <w:pPr>
              <w:keepNext/>
              <w:keepLines/>
              <w:spacing w:after="0" w:line="240" w:lineRule="auto"/>
            </w:pPr>
            <w:r>
              <w:rPr>
                <w:sz w:val="18"/>
              </w:rPr>
              <w:t>7</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700" w:type="dxa"/>
            <w:tcMar>
              <w:top w:w="0" w:type="dxa"/>
              <w:bottom w:w="0" w:type="dxa"/>
            </w:tcMar>
            <w:vAlign w:val="center"/>
          </w:tcPr>
          <w:p w:rsidR="00736E48" w:rsidRDefault="00F62C3A">
            <w:pPr>
              <w:keepNext/>
              <w:keepLines/>
              <w:spacing w:after="0" w:line="240" w:lineRule="auto"/>
              <w:jc w:val="right"/>
            </w:pPr>
            <w:r>
              <w:rPr>
                <w:sz w:val="18"/>
              </w:rPr>
              <w:t>-</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4</w:t>
            </w:r>
          </w:p>
        </w:tc>
        <w:tc>
          <w:tcPr>
            <w:tcW w:w="3180" w:type="dxa"/>
            <w:tcMar>
              <w:top w:w="0" w:type="dxa"/>
              <w:bottom w:w="0" w:type="dxa"/>
            </w:tcMar>
            <w:vAlign w:val="center"/>
          </w:tcPr>
          <w:p w:rsidR="00736E48" w:rsidRDefault="00F62C3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736E48" w:rsidRDefault="00F62C3A">
            <w:pPr>
              <w:keepNext/>
              <w:keepLines/>
              <w:spacing w:after="0" w:line="240" w:lineRule="auto"/>
            </w:pPr>
            <w:r>
              <w:rPr>
                <w:sz w:val="18"/>
              </w:rPr>
              <w:t>4</w:t>
            </w:r>
          </w:p>
        </w:tc>
        <w:tc>
          <w:tcPr>
            <w:tcW w:w="1860" w:type="dxa"/>
            <w:tcMar>
              <w:top w:w="0" w:type="dxa"/>
              <w:bottom w:w="0" w:type="dxa"/>
            </w:tcMar>
            <w:vAlign w:val="center"/>
          </w:tcPr>
          <w:p w:rsidR="00736E48" w:rsidRDefault="00F62C3A">
            <w:pPr>
              <w:keepNext/>
              <w:keepLines/>
              <w:spacing w:after="0" w:line="240" w:lineRule="auto"/>
              <w:jc w:val="right"/>
            </w:pPr>
            <w:r>
              <w:rPr>
                <w:sz w:val="18"/>
              </w:rPr>
              <w:t>8.336,76</w:t>
            </w:r>
          </w:p>
        </w:tc>
        <w:tc>
          <w:tcPr>
            <w:tcW w:w="1860" w:type="dxa"/>
            <w:tcMar>
              <w:top w:w="0" w:type="dxa"/>
              <w:bottom w:w="0" w:type="dxa"/>
            </w:tcMar>
            <w:vAlign w:val="center"/>
          </w:tcPr>
          <w:p w:rsidR="00736E48" w:rsidRDefault="00F62C3A">
            <w:pPr>
              <w:keepNext/>
              <w:keepLines/>
              <w:spacing w:after="0" w:line="240" w:lineRule="auto"/>
              <w:jc w:val="right"/>
            </w:pPr>
            <w:r>
              <w:rPr>
                <w:sz w:val="18"/>
              </w:rPr>
              <w:t>10.411,97</w:t>
            </w:r>
          </w:p>
        </w:tc>
        <w:tc>
          <w:tcPr>
            <w:tcW w:w="700" w:type="dxa"/>
            <w:tcMar>
              <w:top w:w="0" w:type="dxa"/>
              <w:bottom w:w="0" w:type="dxa"/>
            </w:tcMar>
            <w:vAlign w:val="center"/>
          </w:tcPr>
          <w:p w:rsidR="00736E48" w:rsidRDefault="00F62C3A">
            <w:pPr>
              <w:keepNext/>
              <w:keepLines/>
              <w:spacing w:after="0" w:line="240" w:lineRule="auto"/>
              <w:jc w:val="right"/>
            </w:pPr>
            <w:r>
              <w:rPr>
                <w:sz w:val="18"/>
              </w:rPr>
              <w:t>124,9</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736E48">
            <w:pPr>
              <w:keepNext/>
              <w:keepLines/>
              <w:spacing w:after="0" w:line="240" w:lineRule="auto"/>
            </w:pPr>
          </w:p>
        </w:tc>
        <w:tc>
          <w:tcPr>
            <w:tcW w:w="3180" w:type="dxa"/>
            <w:tcMar>
              <w:top w:w="0" w:type="dxa"/>
              <w:bottom w:w="0" w:type="dxa"/>
            </w:tcMar>
            <w:vAlign w:val="center"/>
          </w:tcPr>
          <w:p w:rsidR="00736E48" w:rsidRDefault="00F62C3A">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36E48" w:rsidRDefault="00F62C3A">
            <w:pPr>
              <w:keepNext/>
              <w:keepLines/>
              <w:spacing w:after="0" w:line="240" w:lineRule="auto"/>
            </w:pPr>
            <w:r>
              <w:rPr>
                <w:b/>
                <w:sz w:val="18"/>
              </w:rPr>
              <w:t>Y002</w:t>
            </w:r>
          </w:p>
        </w:tc>
        <w:tc>
          <w:tcPr>
            <w:tcW w:w="1860" w:type="dxa"/>
            <w:tcMar>
              <w:top w:w="0" w:type="dxa"/>
              <w:bottom w:w="0" w:type="dxa"/>
            </w:tcMar>
            <w:vAlign w:val="center"/>
          </w:tcPr>
          <w:p w:rsidR="00736E48" w:rsidRDefault="00F62C3A">
            <w:pPr>
              <w:keepNext/>
              <w:keepLines/>
              <w:spacing w:after="0" w:line="240" w:lineRule="auto"/>
              <w:jc w:val="right"/>
            </w:pPr>
            <w:r>
              <w:rPr>
                <w:b/>
                <w:sz w:val="18"/>
              </w:rPr>
              <w:t>8.336,76</w:t>
            </w:r>
          </w:p>
        </w:tc>
        <w:tc>
          <w:tcPr>
            <w:tcW w:w="1860" w:type="dxa"/>
            <w:tcMar>
              <w:top w:w="0" w:type="dxa"/>
              <w:bottom w:w="0" w:type="dxa"/>
            </w:tcMar>
            <w:vAlign w:val="center"/>
          </w:tcPr>
          <w:p w:rsidR="00736E48" w:rsidRDefault="00F62C3A">
            <w:pPr>
              <w:keepNext/>
              <w:keepLines/>
              <w:spacing w:after="0" w:line="240" w:lineRule="auto"/>
              <w:jc w:val="right"/>
            </w:pPr>
            <w:r>
              <w:rPr>
                <w:b/>
                <w:sz w:val="18"/>
              </w:rPr>
              <w:t>10.411,97</w:t>
            </w:r>
          </w:p>
        </w:tc>
        <w:tc>
          <w:tcPr>
            <w:tcW w:w="700" w:type="dxa"/>
            <w:tcMar>
              <w:top w:w="0" w:type="dxa"/>
              <w:bottom w:w="0" w:type="dxa"/>
            </w:tcMar>
            <w:vAlign w:val="center"/>
          </w:tcPr>
          <w:p w:rsidR="00736E48" w:rsidRDefault="00F62C3A">
            <w:pPr>
              <w:keepNext/>
              <w:keepLines/>
              <w:spacing w:after="0" w:line="240" w:lineRule="auto"/>
              <w:jc w:val="right"/>
            </w:pPr>
            <w:r>
              <w:rPr>
                <w:b/>
                <w:sz w:val="18"/>
              </w:rPr>
              <w:t>124,9</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8</w:t>
            </w:r>
          </w:p>
        </w:tc>
        <w:tc>
          <w:tcPr>
            <w:tcW w:w="3180" w:type="dxa"/>
            <w:tcMar>
              <w:top w:w="0" w:type="dxa"/>
              <w:bottom w:w="0" w:type="dxa"/>
            </w:tcMar>
            <w:vAlign w:val="center"/>
          </w:tcPr>
          <w:p w:rsidR="00736E48" w:rsidRDefault="00F62C3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36E48" w:rsidRDefault="00F62C3A">
            <w:pPr>
              <w:keepNext/>
              <w:keepLines/>
              <w:spacing w:after="0" w:line="240" w:lineRule="auto"/>
            </w:pPr>
            <w:r>
              <w:rPr>
                <w:sz w:val="18"/>
              </w:rPr>
              <w:t>8</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700" w:type="dxa"/>
            <w:tcMar>
              <w:top w:w="0" w:type="dxa"/>
              <w:bottom w:w="0" w:type="dxa"/>
            </w:tcMar>
            <w:vAlign w:val="center"/>
          </w:tcPr>
          <w:p w:rsidR="00736E48" w:rsidRDefault="00F62C3A">
            <w:pPr>
              <w:keepNext/>
              <w:keepLines/>
              <w:spacing w:after="0" w:line="240" w:lineRule="auto"/>
              <w:jc w:val="right"/>
            </w:pPr>
            <w:r>
              <w:rPr>
                <w:sz w:val="18"/>
              </w:rPr>
              <w:t>-</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5</w:t>
            </w:r>
          </w:p>
        </w:tc>
        <w:tc>
          <w:tcPr>
            <w:tcW w:w="3180" w:type="dxa"/>
            <w:tcMar>
              <w:top w:w="0" w:type="dxa"/>
              <w:bottom w:w="0" w:type="dxa"/>
            </w:tcMar>
            <w:vAlign w:val="center"/>
          </w:tcPr>
          <w:p w:rsidR="00736E48" w:rsidRDefault="00F62C3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736E48" w:rsidRDefault="00F62C3A">
            <w:pPr>
              <w:keepNext/>
              <w:keepLines/>
              <w:spacing w:after="0" w:line="240" w:lineRule="auto"/>
            </w:pPr>
            <w:r>
              <w:rPr>
                <w:sz w:val="18"/>
              </w:rPr>
              <w:t>5</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700" w:type="dxa"/>
            <w:tcMar>
              <w:top w:w="0" w:type="dxa"/>
              <w:bottom w:w="0" w:type="dxa"/>
            </w:tcMar>
            <w:vAlign w:val="center"/>
          </w:tcPr>
          <w:p w:rsidR="00736E48" w:rsidRDefault="00F62C3A">
            <w:pPr>
              <w:keepNext/>
              <w:keepLines/>
              <w:spacing w:after="0" w:line="240" w:lineRule="auto"/>
              <w:jc w:val="right"/>
            </w:pPr>
            <w:r>
              <w:rPr>
                <w:sz w:val="18"/>
              </w:rPr>
              <w:t>-</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736E48">
            <w:pPr>
              <w:keepNext/>
              <w:keepLines/>
              <w:spacing w:after="0" w:line="240" w:lineRule="auto"/>
            </w:pPr>
          </w:p>
        </w:tc>
        <w:tc>
          <w:tcPr>
            <w:tcW w:w="3180" w:type="dxa"/>
            <w:tcMar>
              <w:top w:w="0" w:type="dxa"/>
              <w:bottom w:w="0" w:type="dxa"/>
            </w:tcMar>
            <w:vAlign w:val="center"/>
          </w:tcPr>
          <w:p w:rsidR="00736E48" w:rsidRDefault="00F62C3A">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736E48" w:rsidRDefault="00F62C3A">
            <w:pPr>
              <w:keepNext/>
              <w:keepLines/>
              <w:spacing w:after="0" w:line="240" w:lineRule="auto"/>
            </w:pPr>
            <w:r>
              <w:rPr>
                <w:b/>
                <w:sz w:val="18"/>
              </w:rPr>
              <w:t>X003, Y003</w:t>
            </w:r>
          </w:p>
        </w:tc>
        <w:tc>
          <w:tcPr>
            <w:tcW w:w="1860" w:type="dxa"/>
            <w:tcMar>
              <w:top w:w="0" w:type="dxa"/>
              <w:bottom w:w="0" w:type="dxa"/>
            </w:tcMar>
            <w:vAlign w:val="center"/>
          </w:tcPr>
          <w:p w:rsidR="00736E48" w:rsidRDefault="00F62C3A">
            <w:pPr>
              <w:keepNext/>
              <w:keepLines/>
              <w:spacing w:after="0" w:line="240" w:lineRule="auto"/>
              <w:jc w:val="right"/>
            </w:pPr>
            <w:r>
              <w:rPr>
                <w:b/>
                <w:sz w:val="18"/>
              </w:rPr>
              <w:t>0,00</w:t>
            </w:r>
          </w:p>
        </w:tc>
        <w:tc>
          <w:tcPr>
            <w:tcW w:w="1860" w:type="dxa"/>
            <w:tcMar>
              <w:top w:w="0" w:type="dxa"/>
              <w:bottom w:w="0" w:type="dxa"/>
            </w:tcMar>
            <w:vAlign w:val="center"/>
          </w:tcPr>
          <w:p w:rsidR="00736E48" w:rsidRDefault="00F62C3A">
            <w:pPr>
              <w:keepNext/>
              <w:keepLines/>
              <w:spacing w:after="0" w:line="240" w:lineRule="auto"/>
              <w:jc w:val="right"/>
            </w:pPr>
            <w:r>
              <w:rPr>
                <w:b/>
                <w:sz w:val="18"/>
              </w:rPr>
              <w:t>0,00</w:t>
            </w:r>
          </w:p>
        </w:tc>
        <w:tc>
          <w:tcPr>
            <w:tcW w:w="700" w:type="dxa"/>
            <w:tcMar>
              <w:top w:w="0" w:type="dxa"/>
              <w:bottom w:w="0" w:type="dxa"/>
            </w:tcMar>
            <w:vAlign w:val="center"/>
          </w:tcPr>
          <w:p w:rsidR="00736E48" w:rsidRDefault="00F62C3A">
            <w:pPr>
              <w:keepNext/>
              <w:keepLines/>
              <w:spacing w:after="0" w:line="240" w:lineRule="auto"/>
              <w:jc w:val="right"/>
            </w:pPr>
            <w:r>
              <w:rPr>
                <w:b/>
                <w:sz w:val="18"/>
              </w:rPr>
              <w:t>-</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736E48">
            <w:pPr>
              <w:keepNext/>
              <w:keepLines/>
              <w:spacing w:after="0" w:line="240" w:lineRule="auto"/>
            </w:pPr>
          </w:p>
        </w:tc>
        <w:tc>
          <w:tcPr>
            <w:tcW w:w="3180" w:type="dxa"/>
            <w:tcMar>
              <w:top w:w="0" w:type="dxa"/>
              <w:bottom w:w="0" w:type="dxa"/>
            </w:tcMar>
            <w:vAlign w:val="center"/>
          </w:tcPr>
          <w:p w:rsidR="00736E48" w:rsidRDefault="00F62C3A">
            <w:pPr>
              <w:keepNext/>
              <w:keepLines/>
              <w:spacing w:after="0" w:line="240" w:lineRule="auto"/>
            </w:pPr>
            <w:r>
              <w:rPr>
                <w:b/>
                <w:sz w:val="18"/>
              </w:rPr>
              <w:t>MANJAK PRIHODA I PRIMITAKA (šifre Y345-X678)</w:t>
            </w:r>
          </w:p>
        </w:tc>
        <w:tc>
          <w:tcPr>
            <w:tcW w:w="700" w:type="dxa"/>
            <w:tcMar>
              <w:top w:w="0" w:type="dxa"/>
              <w:bottom w:w="0" w:type="dxa"/>
            </w:tcMar>
            <w:vAlign w:val="center"/>
          </w:tcPr>
          <w:p w:rsidR="00736E48" w:rsidRDefault="00F62C3A">
            <w:pPr>
              <w:keepNext/>
              <w:keepLines/>
              <w:spacing w:after="0" w:line="240" w:lineRule="auto"/>
            </w:pPr>
            <w:r>
              <w:rPr>
                <w:b/>
                <w:sz w:val="18"/>
              </w:rPr>
              <w:t>Y005</w:t>
            </w:r>
          </w:p>
        </w:tc>
        <w:tc>
          <w:tcPr>
            <w:tcW w:w="1860" w:type="dxa"/>
            <w:tcMar>
              <w:top w:w="0" w:type="dxa"/>
              <w:bottom w:w="0" w:type="dxa"/>
            </w:tcMar>
            <w:vAlign w:val="center"/>
          </w:tcPr>
          <w:p w:rsidR="00736E48" w:rsidRDefault="00F62C3A">
            <w:pPr>
              <w:keepNext/>
              <w:keepLines/>
              <w:spacing w:after="0" w:line="240" w:lineRule="auto"/>
              <w:jc w:val="right"/>
            </w:pPr>
            <w:r>
              <w:rPr>
                <w:b/>
                <w:sz w:val="18"/>
              </w:rPr>
              <w:t>0,00</w:t>
            </w:r>
          </w:p>
        </w:tc>
        <w:tc>
          <w:tcPr>
            <w:tcW w:w="1860" w:type="dxa"/>
            <w:tcMar>
              <w:top w:w="0" w:type="dxa"/>
              <w:bottom w:w="0" w:type="dxa"/>
            </w:tcMar>
            <w:vAlign w:val="center"/>
          </w:tcPr>
          <w:p w:rsidR="00736E48" w:rsidRDefault="00F62C3A">
            <w:pPr>
              <w:keepNext/>
              <w:keepLines/>
              <w:spacing w:after="0" w:line="240" w:lineRule="auto"/>
              <w:jc w:val="right"/>
            </w:pPr>
            <w:r>
              <w:rPr>
                <w:b/>
                <w:sz w:val="18"/>
              </w:rPr>
              <w:t>84.638,34</w:t>
            </w:r>
          </w:p>
        </w:tc>
        <w:tc>
          <w:tcPr>
            <w:tcW w:w="700" w:type="dxa"/>
            <w:tcMar>
              <w:top w:w="0" w:type="dxa"/>
              <w:bottom w:w="0" w:type="dxa"/>
            </w:tcMar>
            <w:vAlign w:val="center"/>
          </w:tcPr>
          <w:p w:rsidR="00736E48" w:rsidRDefault="00F62C3A">
            <w:pPr>
              <w:keepNext/>
              <w:keepLines/>
              <w:spacing w:after="0" w:line="240" w:lineRule="auto"/>
              <w:jc w:val="right"/>
            </w:pPr>
            <w:r>
              <w:rPr>
                <w:b/>
                <w:sz w:val="18"/>
              </w:rPr>
              <w:t>-</w:t>
            </w:r>
          </w:p>
        </w:tc>
      </w:tr>
    </w:tbl>
    <w:p w:rsidR="00736E48" w:rsidRDefault="00736E48">
      <w:pPr>
        <w:spacing w:after="0"/>
      </w:pPr>
    </w:p>
    <w:p w:rsidR="00736E48" w:rsidRDefault="00F62C3A">
      <w:r>
        <w:t>U razdoblju od 1.siječnja do 31. prosinca 2025. ukupni prihodi poslovanja iznose 1.072.356,77 EUR što predstavlja rast od 4,75% u odnosu na isto razdoblje prošle godine (1023.713,54 EUR). Rashodi poslovanja u istom razdoblju iznose 1.146.583,14 EUR, što je</w:t>
      </w:r>
      <w:r>
        <w:t xml:space="preserve"> porast od 14,18% u odnosu na prethodnu godinu (1.004.115,22 EUR). U skladu s odredbama Pravilnika o proračunskom računovodstvu i računskom planu (NN 158/23 i 154/24), čl.233. podskupina računa 193 Kontinuirani rashodi budućih razdoblja ukida se s danom 1.</w:t>
      </w:r>
      <w:r>
        <w:t xml:space="preserve">siječnja 2525. godine. Početno stanje kontinuiranih rashoda budućih razdoblja prenosi se na </w:t>
      </w:r>
      <w:r>
        <w:lastRenderedPageBreak/>
        <w:t>odgovarajuće račune razreda 3 Rashodi poslovanja. Ova promjena u računovodstvenoj politici znači ukidanje vremenskog razgraničenja prihoda i rashoda, pri čemu se sv</w:t>
      </w:r>
      <w:r>
        <w:t>i rashodi priznaju u razdoblju nastanka, a prihodi isključivo po načelu naplate. Takav način evidentiranja izravno utječe na strukturu i iznose iskazanih stavki u financijskom izvještaju, posebno na rezultat poslovanja za tekuće razdoblje. U izvještajnom r</w:t>
      </w:r>
      <w:r>
        <w:t>azdoblju 2025. godine, kao posljedica navedenih promjena, ostvaren je manjak prihoda i primitaka u odnosu na rashode i izdatke u iznosu od 84.638,34 EUR. </w:t>
      </w:r>
    </w:p>
    <w:p w:rsidR="00736E48" w:rsidRDefault="00F62C3A">
      <w:r>
        <w:t> </w:t>
      </w:r>
    </w:p>
    <w:p w:rsidR="00736E48" w:rsidRDefault="00F62C3A">
      <w:r>
        <w:t> </w:t>
      </w:r>
    </w:p>
    <w:p w:rsidR="00736E48" w:rsidRDefault="00F62C3A">
      <w:r>
        <w:br/>
      </w:r>
    </w:p>
    <w:p w:rsidR="00736E48" w:rsidRDefault="00F62C3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6615</w:t>
            </w:r>
          </w:p>
        </w:tc>
        <w:tc>
          <w:tcPr>
            <w:tcW w:w="3180" w:type="dxa"/>
            <w:tcMar>
              <w:top w:w="0" w:type="dxa"/>
              <w:bottom w:w="0" w:type="dxa"/>
            </w:tcMar>
            <w:vAlign w:val="center"/>
          </w:tcPr>
          <w:p w:rsidR="00736E48" w:rsidRDefault="00F62C3A">
            <w:pPr>
              <w:keepNext/>
              <w:keepLines/>
              <w:spacing w:after="0" w:line="240" w:lineRule="auto"/>
            </w:pPr>
            <w:r>
              <w:rPr>
                <w:sz w:val="18"/>
              </w:rPr>
              <w:t>Prihodi od pruženih usluga</w:t>
            </w:r>
          </w:p>
        </w:tc>
        <w:tc>
          <w:tcPr>
            <w:tcW w:w="700" w:type="dxa"/>
            <w:tcMar>
              <w:top w:w="0" w:type="dxa"/>
              <w:bottom w:w="0" w:type="dxa"/>
            </w:tcMar>
            <w:vAlign w:val="center"/>
          </w:tcPr>
          <w:p w:rsidR="00736E48" w:rsidRDefault="00F62C3A">
            <w:pPr>
              <w:keepNext/>
              <w:keepLines/>
              <w:spacing w:after="0" w:line="240" w:lineRule="auto"/>
            </w:pPr>
            <w:r>
              <w:rPr>
                <w:sz w:val="18"/>
              </w:rPr>
              <w:t>6615</w:t>
            </w:r>
          </w:p>
        </w:tc>
        <w:tc>
          <w:tcPr>
            <w:tcW w:w="1860" w:type="dxa"/>
            <w:tcMar>
              <w:top w:w="0" w:type="dxa"/>
              <w:bottom w:w="0" w:type="dxa"/>
            </w:tcMar>
            <w:vAlign w:val="center"/>
          </w:tcPr>
          <w:p w:rsidR="00736E48" w:rsidRDefault="00F62C3A">
            <w:pPr>
              <w:keepNext/>
              <w:keepLines/>
              <w:spacing w:after="0" w:line="240" w:lineRule="auto"/>
              <w:jc w:val="right"/>
            </w:pPr>
            <w:r>
              <w:rPr>
                <w:sz w:val="18"/>
              </w:rPr>
              <w:t>424,74</w:t>
            </w:r>
          </w:p>
        </w:tc>
        <w:tc>
          <w:tcPr>
            <w:tcW w:w="1860" w:type="dxa"/>
            <w:tcMar>
              <w:top w:w="0" w:type="dxa"/>
              <w:bottom w:w="0" w:type="dxa"/>
            </w:tcMar>
            <w:vAlign w:val="center"/>
          </w:tcPr>
          <w:p w:rsidR="00736E48" w:rsidRDefault="00F62C3A">
            <w:pPr>
              <w:keepNext/>
              <w:keepLines/>
              <w:spacing w:after="0" w:line="240" w:lineRule="auto"/>
              <w:jc w:val="right"/>
            </w:pPr>
            <w:r>
              <w:rPr>
                <w:sz w:val="18"/>
              </w:rPr>
              <w:t>5.277,84</w:t>
            </w:r>
          </w:p>
        </w:tc>
        <w:tc>
          <w:tcPr>
            <w:tcW w:w="700" w:type="dxa"/>
            <w:tcMar>
              <w:top w:w="0" w:type="dxa"/>
              <w:bottom w:w="0" w:type="dxa"/>
            </w:tcMar>
            <w:vAlign w:val="center"/>
          </w:tcPr>
          <w:p w:rsidR="00736E48" w:rsidRDefault="00F62C3A">
            <w:pPr>
              <w:keepNext/>
              <w:keepLines/>
              <w:spacing w:after="0" w:line="240" w:lineRule="auto"/>
              <w:jc w:val="right"/>
            </w:pPr>
            <w:r>
              <w:rPr>
                <w:sz w:val="18"/>
              </w:rPr>
              <w:t>1242,6</w:t>
            </w:r>
          </w:p>
        </w:tc>
      </w:tr>
    </w:tbl>
    <w:p w:rsidR="00736E48" w:rsidRDefault="00736E48">
      <w:pPr>
        <w:spacing w:after="0"/>
      </w:pPr>
    </w:p>
    <w:p w:rsidR="00736E48" w:rsidRDefault="00F62C3A">
      <w:r>
        <w:t xml:space="preserve">Tijekom izvještajnog razdoblja došlo je do povećanja prihoda temeljem sklopljenog ugovora o zakupu s društvom HT </w:t>
      </w:r>
      <w:proofErr w:type="spellStart"/>
      <w:r>
        <w:t>d.d</w:t>
      </w:r>
      <w:proofErr w:type="spellEnd"/>
      <w:r>
        <w:t xml:space="preserve"> . Ugovorom je ugovoren mjesečni najam u iznosu od 100 EUR. Također, u izvještajnom razdoblju evidentirana je uplata od  zakupnine za pretho</w:t>
      </w:r>
      <w:r>
        <w:t>dno razdoblje (od 01.07.2021.-30.06.2025.)u ukupnom iznosu od 4.800 EUR, što je dodatno utjecalo na povećanje prihoda.</w:t>
      </w:r>
    </w:p>
    <w:p w:rsidR="00736E48" w:rsidRDefault="00736E48"/>
    <w:p w:rsidR="00736E48" w:rsidRDefault="00F62C3A">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w:t>
            </w:r>
            <w:r>
              <w:rPr>
                <w:b/>
                <w:sz w:val="18"/>
              </w:rPr>
              <w:t xml:space="preserve">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311</w:t>
            </w:r>
          </w:p>
        </w:tc>
        <w:tc>
          <w:tcPr>
            <w:tcW w:w="3180" w:type="dxa"/>
            <w:tcMar>
              <w:top w:w="0" w:type="dxa"/>
              <w:bottom w:w="0" w:type="dxa"/>
            </w:tcMar>
            <w:vAlign w:val="center"/>
          </w:tcPr>
          <w:p w:rsidR="00736E48" w:rsidRDefault="00F62C3A">
            <w:pPr>
              <w:keepNext/>
              <w:keepLines/>
              <w:spacing w:after="0" w:line="240" w:lineRule="auto"/>
            </w:pPr>
            <w:r>
              <w:rPr>
                <w:sz w:val="18"/>
              </w:rPr>
              <w:t>Plaće (bruto) (šifre 3111 do 3114)</w:t>
            </w:r>
          </w:p>
        </w:tc>
        <w:tc>
          <w:tcPr>
            <w:tcW w:w="700" w:type="dxa"/>
            <w:tcMar>
              <w:top w:w="0" w:type="dxa"/>
              <w:bottom w:w="0" w:type="dxa"/>
            </w:tcMar>
            <w:vAlign w:val="center"/>
          </w:tcPr>
          <w:p w:rsidR="00736E48" w:rsidRDefault="00F62C3A">
            <w:pPr>
              <w:keepNext/>
              <w:keepLines/>
              <w:spacing w:after="0" w:line="240" w:lineRule="auto"/>
            </w:pPr>
            <w:r>
              <w:rPr>
                <w:sz w:val="18"/>
              </w:rPr>
              <w:t>311</w:t>
            </w:r>
          </w:p>
        </w:tc>
        <w:tc>
          <w:tcPr>
            <w:tcW w:w="1860" w:type="dxa"/>
            <w:tcMar>
              <w:top w:w="0" w:type="dxa"/>
              <w:bottom w:w="0" w:type="dxa"/>
            </w:tcMar>
            <w:vAlign w:val="center"/>
          </w:tcPr>
          <w:p w:rsidR="00736E48" w:rsidRDefault="00F62C3A">
            <w:pPr>
              <w:keepNext/>
              <w:keepLines/>
              <w:spacing w:after="0" w:line="240" w:lineRule="auto"/>
              <w:jc w:val="right"/>
            </w:pPr>
            <w:r>
              <w:rPr>
                <w:sz w:val="18"/>
              </w:rPr>
              <w:t>650.348,26</w:t>
            </w:r>
          </w:p>
        </w:tc>
        <w:tc>
          <w:tcPr>
            <w:tcW w:w="1860" w:type="dxa"/>
            <w:tcMar>
              <w:top w:w="0" w:type="dxa"/>
              <w:bottom w:w="0" w:type="dxa"/>
            </w:tcMar>
            <w:vAlign w:val="center"/>
          </w:tcPr>
          <w:p w:rsidR="00736E48" w:rsidRDefault="00F62C3A">
            <w:pPr>
              <w:keepNext/>
              <w:keepLines/>
              <w:spacing w:after="0" w:line="240" w:lineRule="auto"/>
              <w:jc w:val="right"/>
            </w:pPr>
            <w:r>
              <w:rPr>
                <w:sz w:val="18"/>
              </w:rPr>
              <w:t>759.710,15</w:t>
            </w:r>
          </w:p>
        </w:tc>
        <w:tc>
          <w:tcPr>
            <w:tcW w:w="700" w:type="dxa"/>
            <w:tcMar>
              <w:top w:w="0" w:type="dxa"/>
              <w:bottom w:w="0" w:type="dxa"/>
            </w:tcMar>
            <w:vAlign w:val="center"/>
          </w:tcPr>
          <w:p w:rsidR="00736E48" w:rsidRDefault="00F62C3A">
            <w:pPr>
              <w:keepNext/>
              <w:keepLines/>
              <w:spacing w:after="0" w:line="240" w:lineRule="auto"/>
              <w:jc w:val="right"/>
            </w:pPr>
            <w:r>
              <w:rPr>
                <w:sz w:val="18"/>
              </w:rPr>
              <w:t>116,8</w:t>
            </w:r>
          </w:p>
        </w:tc>
      </w:tr>
    </w:tbl>
    <w:p w:rsidR="00736E48" w:rsidRDefault="00736E48">
      <w:pPr>
        <w:spacing w:after="0"/>
      </w:pPr>
    </w:p>
    <w:p w:rsidR="00736E48" w:rsidRDefault="00F62C3A">
      <w:r>
        <w:t>Povećanje se odnosi na povećanje plaća zaposlenika.</w:t>
      </w:r>
    </w:p>
    <w:p w:rsidR="00736E48" w:rsidRDefault="00736E48"/>
    <w:p w:rsidR="00736E48" w:rsidRDefault="00F62C3A">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312</w:t>
            </w:r>
          </w:p>
        </w:tc>
        <w:tc>
          <w:tcPr>
            <w:tcW w:w="3180" w:type="dxa"/>
            <w:tcMar>
              <w:top w:w="0" w:type="dxa"/>
              <w:bottom w:w="0" w:type="dxa"/>
            </w:tcMar>
            <w:vAlign w:val="center"/>
          </w:tcPr>
          <w:p w:rsidR="00736E48" w:rsidRDefault="00F62C3A">
            <w:pPr>
              <w:keepNext/>
              <w:keepLines/>
              <w:spacing w:after="0" w:line="240" w:lineRule="auto"/>
            </w:pPr>
            <w:r>
              <w:rPr>
                <w:sz w:val="18"/>
              </w:rPr>
              <w:t>Ostali rashodi za zaposlene</w:t>
            </w:r>
          </w:p>
        </w:tc>
        <w:tc>
          <w:tcPr>
            <w:tcW w:w="700" w:type="dxa"/>
            <w:tcMar>
              <w:top w:w="0" w:type="dxa"/>
              <w:bottom w:w="0" w:type="dxa"/>
            </w:tcMar>
            <w:vAlign w:val="center"/>
          </w:tcPr>
          <w:p w:rsidR="00736E48" w:rsidRDefault="00F62C3A">
            <w:pPr>
              <w:keepNext/>
              <w:keepLines/>
              <w:spacing w:after="0" w:line="240" w:lineRule="auto"/>
            </w:pPr>
            <w:r>
              <w:rPr>
                <w:sz w:val="18"/>
              </w:rPr>
              <w:t>312</w:t>
            </w:r>
          </w:p>
        </w:tc>
        <w:tc>
          <w:tcPr>
            <w:tcW w:w="1860" w:type="dxa"/>
            <w:tcMar>
              <w:top w:w="0" w:type="dxa"/>
              <w:bottom w:w="0" w:type="dxa"/>
            </w:tcMar>
            <w:vAlign w:val="center"/>
          </w:tcPr>
          <w:p w:rsidR="00736E48" w:rsidRDefault="00F62C3A">
            <w:pPr>
              <w:keepNext/>
              <w:keepLines/>
              <w:spacing w:after="0" w:line="240" w:lineRule="auto"/>
              <w:jc w:val="right"/>
            </w:pPr>
            <w:r>
              <w:rPr>
                <w:sz w:val="18"/>
              </w:rPr>
              <w:t>21.448,86</w:t>
            </w:r>
          </w:p>
        </w:tc>
        <w:tc>
          <w:tcPr>
            <w:tcW w:w="1860" w:type="dxa"/>
            <w:tcMar>
              <w:top w:w="0" w:type="dxa"/>
              <w:bottom w:w="0" w:type="dxa"/>
            </w:tcMar>
            <w:vAlign w:val="center"/>
          </w:tcPr>
          <w:p w:rsidR="00736E48" w:rsidRDefault="00F62C3A">
            <w:pPr>
              <w:keepNext/>
              <w:keepLines/>
              <w:spacing w:after="0" w:line="240" w:lineRule="auto"/>
              <w:jc w:val="right"/>
            </w:pPr>
            <w:r>
              <w:rPr>
                <w:sz w:val="18"/>
              </w:rPr>
              <w:t>23.265,71</w:t>
            </w:r>
          </w:p>
        </w:tc>
        <w:tc>
          <w:tcPr>
            <w:tcW w:w="700" w:type="dxa"/>
            <w:tcMar>
              <w:top w:w="0" w:type="dxa"/>
              <w:bottom w:w="0" w:type="dxa"/>
            </w:tcMar>
            <w:vAlign w:val="center"/>
          </w:tcPr>
          <w:p w:rsidR="00736E48" w:rsidRDefault="00F62C3A">
            <w:pPr>
              <w:keepNext/>
              <w:keepLines/>
              <w:spacing w:after="0" w:line="240" w:lineRule="auto"/>
              <w:jc w:val="right"/>
            </w:pPr>
            <w:r>
              <w:rPr>
                <w:sz w:val="18"/>
              </w:rPr>
              <w:t>108,5</w:t>
            </w:r>
          </w:p>
        </w:tc>
      </w:tr>
    </w:tbl>
    <w:p w:rsidR="00736E48" w:rsidRDefault="00736E48">
      <w:pPr>
        <w:spacing w:after="0"/>
      </w:pPr>
    </w:p>
    <w:p w:rsidR="00736E48" w:rsidRDefault="00F62C3A">
      <w:r>
        <w:t>Povećanje se odnosi na isplaćena materijalna prava zaposlenika.</w:t>
      </w:r>
    </w:p>
    <w:p w:rsidR="00736E48" w:rsidRDefault="00736E48"/>
    <w:p w:rsidR="00736E48" w:rsidRDefault="00F62C3A">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3213</w:t>
            </w:r>
          </w:p>
        </w:tc>
        <w:tc>
          <w:tcPr>
            <w:tcW w:w="3180" w:type="dxa"/>
            <w:tcMar>
              <w:top w:w="0" w:type="dxa"/>
              <w:bottom w:w="0" w:type="dxa"/>
            </w:tcMar>
            <w:vAlign w:val="center"/>
          </w:tcPr>
          <w:p w:rsidR="00736E48" w:rsidRDefault="00F62C3A">
            <w:pPr>
              <w:keepNext/>
              <w:keepLines/>
              <w:spacing w:after="0" w:line="240" w:lineRule="auto"/>
            </w:pPr>
            <w:r>
              <w:rPr>
                <w:sz w:val="18"/>
              </w:rPr>
              <w:t>Stručno usavršavanje zaposlenika</w:t>
            </w:r>
          </w:p>
        </w:tc>
        <w:tc>
          <w:tcPr>
            <w:tcW w:w="700" w:type="dxa"/>
            <w:tcMar>
              <w:top w:w="0" w:type="dxa"/>
              <w:bottom w:w="0" w:type="dxa"/>
            </w:tcMar>
            <w:vAlign w:val="center"/>
          </w:tcPr>
          <w:p w:rsidR="00736E48" w:rsidRDefault="00F62C3A">
            <w:pPr>
              <w:keepNext/>
              <w:keepLines/>
              <w:spacing w:after="0" w:line="240" w:lineRule="auto"/>
            </w:pPr>
            <w:r>
              <w:rPr>
                <w:sz w:val="18"/>
              </w:rPr>
              <w:t>3213</w:t>
            </w:r>
          </w:p>
        </w:tc>
        <w:tc>
          <w:tcPr>
            <w:tcW w:w="1860" w:type="dxa"/>
            <w:tcMar>
              <w:top w:w="0" w:type="dxa"/>
              <w:bottom w:w="0" w:type="dxa"/>
            </w:tcMar>
            <w:vAlign w:val="center"/>
          </w:tcPr>
          <w:p w:rsidR="00736E48" w:rsidRDefault="00F62C3A">
            <w:pPr>
              <w:keepNext/>
              <w:keepLines/>
              <w:spacing w:after="0" w:line="240" w:lineRule="auto"/>
              <w:jc w:val="right"/>
            </w:pPr>
            <w:r>
              <w:rPr>
                <w:sz w:val="18"/>
              </w:rPr>
              <w:t>325,17</w:t>
            </w:r>
          </w:p>
        </w:tc>
        <w:tc>
          <w:tcPr>
            <w:tcW w:w="1860" w:type="dxa"/>
            <w:tcMar>
              <w:top w:w="0" w:type="dxa"/>
              <w:bottom w:w="0" w:type="dxa"/>
            </w:tcMar>
            <w:vAlign w:val="center"/>
          </w:tcPr>
          <w:p w:rsidR="00736E48" w:rsidRDefault="00F62C3A">
            <w:pPr>
              <w:keepNext/>
              <w:keepLines/>
              <w:spacing w:after="0" w:line="240" w:lineRule="auto"/>
              <w:jc w:val="right"/>
            </w:pPr>
            <w:r>
              <w:rPr>
                <w:sz w:val="18"/>
              </w:rPr>
              <w:t>3.094,00</w:t>
            </w:r>
          </w:p>
        </w:tc>
        <w:tc>
          <w:tcPr>
            <w:tcW w:w="700" w:type="dxa"/>
            <w:tcMar>
              <w:top w:w="0" w:type="dxa"/>
              <w:bottom w:w="0" w:type="dxa"/>
            </w:tcMar>
            <w:vAlign w:val="center"/>
          </w:tcPr>
          <w:p w:rsidR="00736E48" w:rsidRDefault="00F62C3A">
            <w:pPr>
              <w:keepNext/>
              <w:keepLines/>
              <w:spacing w:after="0" w:line="240" w:lineRule="auto"/>
              <w:jc w:val="right"/>
            </w:pPr>
            <w:r>
              <w:rPr>
                <w:sz w:val="18"/>
              </w:rPr>
              <w:t>951,5</w:t>
            </w:r>
          </w:p>
        </w:tc>
      </w:tr>
    </w:tbl>
    <w:p w:rsidR="00736E48" w:rsidRDefault="00736E48">
      <w:pPr>
        <w:spacing w:after="0"/>
      </w:pPr>
    </w:p>
    <w:p w:rsidR="00736E48" w:rsidRDefault="00F62C3A">
      <w:r>
        <w:t>Povećanje prihoda odnosi se najvećim dijelom na neplanirane rashode stručnog usavršavanja u sklopu CDŠ-Male darovnice.</w:t>
      </w:r>
    </w:p>
    <w:p w:rsidR="00736E48" w:rsidRDefault="00736E48"/>
    <w:p w:rsidR="00736E48" w:rsidRDefault="00F62C3A">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w:t>
            </w:r>
            <w:r>
              <w:rPr>
                <w:b/>
                <w:sz w:val="18"/>
              </w:rPr>
              <w:t xml:space="preserve">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3236</w:t>
            </w:r>
          </w:p>
        </w:tc>
        <w:tc>
          <w:tcPr>
            <w:tcW w:w="3180" w:type="dxa"/>
            <w:tcMar>
              <w:top w:w="0" w:type="dxa"/>
              <w:bottom w:w="0" w:type="dxa"/>
            </w:tcMar>
            <w:vAlign w:val="center"/>
          </w:tcPr>
          <w:p w:rsidR="00736E48" w:rsidRDefault="00F62C3A">
            <w:pPr>
              <w:keepNext/>
              <w:keepLines/>
              <w:spacing w:after="0" w:line="240" w:lineRule="auto"/>
            </w:pPr>
            <w:r>
              <w:rPr>
                <w:sz w:val="18"/>
              </w:rPr>
              <w:t>Zdravstvene i veterinarske usluge</w:t>
            </w:r>
          </w:p>
        </w:tc>
        <w:tc>
          <w:tcPr>
            <w:tcW w:w="700" w:type="dxa"/>
            <w:tcMar>
              <w:top w:w="0" w:type="dxa"/>
              <w:bottom w:w="0" w:type="dxa"/>
            </w:tcMar>
            <w:vAlign w:val="center"/>
          </w:tcPr>
          <w:p w:rsidR="00736E48" w:rsidRDefault="00F62C3A">
            <w:pPr>
              <w:keepNext/>
              <w:keepLines/>
              <w:spacing w:after="0" w:line="240" w:lineRule="auto"/>
            </w:pPr>
            <w:r>
              <w:rPr>
                <w:sz w:val="18"/>
              </w:rPr>
              <w:t>3236</w:t>
            </w:r>
          </w:p>
        </w:tc>
        <w:tc>
          <w:tcPr>
            <w:tcW w:w="1860" w:type="dxa"/>
            <w:tcMar>
              <w:top w:w="0" w:type="dxa"/>
              <w:bottom w:w="0" w:type="dxa"/>
            </w:tcMar>
            <w:vAlign w:val="center"/>
          </w:tcPr>
          <w:p w:rsidR="00736E48" w:rsidRDefault="00F62C3A">
            <w:pPr>
              <w:keepNext/>
              <w:keepLines/>
              <w:spacing w:after="0" w:line="240" w:lineRule="auto"/>
              <w:jc w:val="right"/>
            </w:pPr>
            <w:r>
              <w:rPr>
                <w:sz w:val="18"/>
              </w:rPr>
              <w:t>1.235,38</w:t>
            </w:r>
          </w:p>
        </w:tc>
        <w:tc>
          <w:tcPr>
            <w:tcW w:w="1860" w:type="dxa"/>
            <w:tcMar>
              <w:top w:w="0" w:type="dxa"/>
              <w:bottom w:w="0" w:type="dxa"/>
            </w:tcMar>
            <w:vAlign w:val="center"/>
          </w:tcPr>
          <w:p w:rsidR="00736E48" w:rsidRDefault="00F62C3A">
            <w:pPr>
              <w:keepNext/>
              <w:keepLines/>
              <w:spacing w:after="0" w:line="240" w:lineRule="auto"/>
              <w:jc w:val="right"/>
            </w:pPr>
            <w:r>
              <w:rPr>
                <w:sz w:val="18"/>
              </w:rPr>
              <w:t>2.638,18</w:t>
            </w:r>
          </w:p>
        </w:tc>
        <w:tc>
          <w:tcPr>
            <w:tcW w:w="700" w:type="dxa"/>
            <w:tcMar>
              <w:top w:w="0" w:type="dxa"/>
              <w:bottom w:w="0" w:type="dxa"/>
            </w:tcMar>
            <w:vAlign w:val="center"/>
          </w:tcPr>
          <w:p w:rsidR="00736E48" w:rsidRDefault="00F62C3A">
            <w:pPr>
              <w:keepNext/>
              <w:keepLines/>
              <w:spacing w:after="0" w:line="240" w:lineRule="auto"/>
              <w:jc w:val="right"/>
            </w:pPr>
            <w:r>
              <w:rPr>
                <w:sz w:val="18"/>
              </w:rPr>
              <w:t>213,6</w:t>
            </w:r>
          </w:p>
        </w:tc>
      </w:tr>
    </w:tbl>
    <w:p w:rsidR="00736E48" w:rsidRDefault="00736E48">
      <w:pPr>
        <w:spacing w:after="0"/>
      </w:pPr>
    </w:p>
    <w:p w:rsidR="00736E48" w:rsidRDefault="00F62C3A">
      <w:r>
        <w:t>Povećanje rashoda u tekućem razdoblju rezultat je većeg broja zaposlenika upućenih na sistematske zdravstvene preglede u odnosu na prethodnu godinu, s obzirom na promjenu dobne strukture zaposlenika.</w:t>
      </w:r>
    </w:p>
    <w:p w:rsidR="00736E48" w:rsidRDefault="00736E48"/>
    <w:p w:rsidR="00736E48" w:rsidRDefault="00F62C3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3237</w:t>
            </w:r>
          </w:p>
        </w:tc>
        <w:tc>
          <w:tcPr>
            <w:tcW w:w="3180" w:type="dxa"/>
            <w:tcMar>
              <w:top w:w="0" w:type="dxa"/>
              <w:bottom w:w="0" w:type="dxa"/>
            </w:tcMar>
            <w:vAlign w:val="center"/>
          </w:tcPr>
          <w:p w:rsidR="00736E48" w:rsidRDefault="00F62C3A">
            <w:pPr>
              <w:keepNext/>
              <w:keepLines/>
              <w:spacing w:after="0" w:line="240" w:lineRule="auto"/>
            </w:pPr>
            <w:r>
              <w:rPr>
                <w:sz w:val="18"/>
              </w:rPr>
              <w:t>Intelektualne i osobne usluge</w:t>
            </w:r>
          </w:p>
        </w:tc>
        <w:tc>
          <w:tcPr>
            <w:tcW w:w="700" w:type="dxa"/>
            <w:tcMar>
              <w:top w:w="0" w:type="dxa"/>
              <w:bottom w:w="0" w:type="dxa"/>
            </w:tcMar>
            <w:vAlign w:val="center"/>
          </w:tcPr>
          <w:p w:rsidR="00736E48" w:rsidRDefault="00F62C3A">
            <w:pPr>
              <w:keepNext/>
              <w:keepLines/>
              <w:spacing w:after="0" w:line="240" w:lineRule="auto"/>
            </w:pPr>
            <w:r>
              <w:rPr>
                <w:sz w:val="18"/>
              </w:rPr>
              <w:t>3237</w:t>
            </w:r>
          </w:p>
        </w:tc>
        <w:tc>
          <w:tcPr>
            <w:tcW w:w="1860" w:type="dxa"/>
            <w:tcMar>
              <w:top w:w="0" w:type="dxa"/>
              <w:bottom w:w="0" w:type="dxa"/>
            </w:tcMar>
            <w:vAlign w:val="center"/>
          </w:tcPr>
          <w:p w:rsidR="00736E48" w:rsidRDefault="00F62C3A">
            <w:pPr>
              <w:keepNext/>
              <w:keepLines/>
              <w:spacing w:after="0" w:line="240" w:lineRule="auto"/>
              <w:jc w:val="right"/>
            </w:pPr>
            <w:r>
              <w:rPr>
                <w:sz w:val="18"/>
              </w:rPr>
              <w:t>2.806,92</w:t>
            </w:r>
          </w:p>
        </w:tc>
        <w:tc>
          <w:tcPr>
            <w:tcW w:w="1860" w:type="dxa"/>
            <w:tcMar>
              <w:top w:w="0" w:type="dxa"/>
              <w:bottom w:w="0" w:type="dxa"/>
            </w:tcMar>
            <w:vAlign w:val="center"/>
          </w:tcPr>
          <w:p w:rsidR="00736E48" w:rsidRDefault="00F62C3A">
            <w:pPr>
              <w:keepNext/>
              <w:keepLines/>
              <w:spacing w:after="0" w:line="240" w:lineRule="auto"/>
              <w:jc w:val="right"/>
            </w:pPr>
            <w:r>
              <w:rPr>
                <w:sz w:val="18"/>
              </w:rPr>
              <w:t>6.861,74</w:t>
            </w:r>
          </w:p>
        </w:tc>
        <w:tc>
          <w:tcPr>
            <w:tcW w:w="700" w:type="dxa"/>
            <w:tcMar>
              <w:top w:w="0" w:type="dxa"/>
              <w:bottom w:w="0" w:type="dxa"/>
            </w:tcMar>
            <w:vAlign w:val="center"/>
          </w:tcPr>
          <w:p w:rsidR="00736E48" w:rsidRDefault="00F62C3A">
            <w:pPr>
              <w:keepNext/>
              <w:keepLines/>
              <w:spacing w:after="0" w:line="240" w:lineRule="auto"/>
              <w:jc w:val="right"/>
            </w:pPr>
            <w:r>
              <w:rPr>
                <w:sz w:val="18"/>
              </w:rPr>
              <w:t>244,5</w:t>
            </w:r>
          </w:p>
        </w:tc>
      </w:tr>
    </w:tbl>
    <w:p w:rsidR="00736E48" w:rsidRDefault="00736E48">
      <w:pPr>
        <w:spacing w:after="0"/>
      </w:pPr>
    </w:p>
    <w:p w:rsidR="00736E48" w:rsidRDefault="00F62C3A">
      <w:r>
        <w:t>Na kontu 3237 evidentirani su rashodi koji se pretežito odnose na autorske ugovore (konto 32371) s predavačima angažiranima za provođenje programa stručnog usavršavanja u sklopu CDŠ-a.</w:t>
      </w:r>
    </w:p>
    <w:p w:rsidR="00736E48" w:rsidRDefault="00F62C3A">
      <w:r>
        <w:t xml:space="preserve">Na </w:t>
      </w:r>
      <w:proofErr w:type="spellStart"/>
      <w:r>
        <w:t>podkontu</w:t>
      </w:r>
      <w:proofErr w:type="spellEnd"/>
      <w:r>
        <w:t xml:space="preserve"> 32372 evidentiran je rashod temeljem ugovora o djelu sa kol</w:t>
      </w:r>
      <w:r>
        <w:t>egicom, koja je izradila godišnji financijski izvještaj za prethodnu godinu. Bila je zaposlena na radnom mjestu računovođe do 1. prosinca 2024. godine. Nakon prestanka radnog odnosa i promjene u računovodstvu, radi osiguranja kontinuiteta, točnosti i uskla</w:t>
      </w:r>
      <w:r>
        <w:t>đenosti financijskog izvještavanja, bilo je nužno angažirati prethodnu računovođu za dovršetak i finalizaciju godišnjeg financijskog izvještaja.</w:t>
      </w:r>
    </w:p>
    <w:p w:rsidR="00736E48" w:rsidRDefault="00736E48"/>
    <w:p w:rsidR="00736E48" w:rsidRDefault="00F62C3A">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w:t>
            </w:r>
            <w:r>
              <w:rPr>
                <w:b/>
                <w:sz w:val="18"/>
              </w:rPr>
              <w:t>o u izvještajnom razdoblju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3238</w:t>
            </w:r>
          </w:p>
        </w:tc>
        <w:tc>
          <w:tcPr>
            <w:tcW w:w="3180" w:type="dxa"/>
            <w:tcMar>
              <w:top w:w="0" w:type="dxa"/>
              <w:bottom w:w="0" w:type="dxa"/>
            </w:tcMar>
            <w:vAlign w:val="center"/>
          </w:tcPr>
          <w:p w:rsidR="00736E48" w:rsidRDefault="00F62C3A">
            <w:pPr>
              <w:keepNext/>
              <w:keepLines/>
              <w:spacing w:after="0" w:line="240" w:lineRule="auto"/>
            </w:pPr>
            <w:r>
              <w:rPr>
                <w:sz w:val="18"/>
              </w:rPr>
              <w:t>Računalne usluge</w:t>
            </w:r>
          </w:p>
        </w:tc>
        <w:tc>
          <w:tcPr>
            <w:tcW w:w="700" w:type="dxa"/>
            <w:tcMar>
              <w:top w:w="0" w:type="dxa"/>
              <w:bottom w:w="0" w:type="dxa"/>
            </w:tcMar>
            <w:vAlign w:val="center"/>
          </w:tcPr>
          <w:p w:rsidR="00736E48" w:rsidRDefault="00F62C3A">
            <w:pPr>
              <w:keepNext/>
              <w:keepLines/>
              <w:spacing w:after="0" w:line="240" w:lineRule="auto"/>
            </w:pPr>
            <w:r>
              <w:rPr>
                <w:sz w:val="18"/>
              </w:rPr>
              <w:t>3238</w:t>
            </w:r>
          </w:p>
        </w:tc>
        <w:tc>
          <w:tcPr>
            <w:tcW w:w="1860" w:type="dxa"/>
            <w:tcMar>
              <w:top w:w="0" w:type="dxa"/>
              <w:bottom w:w="0" w:type="dxa"/>
            </w:tcMar>
            <w:vAlign w:val="center"/>
          </w:tcPr>
          <w:p w:rsidR="00736E48" w:rsidRDefault="00F62C3A">
            <w:pPr>
              <w:keepNext/>
              <w:keepLines/>
              <w:spacing w:after="0" w:line="240" w:lineRule="auto"/>
              <w:jc w:val="right"/>
            </w:pPr>
            <w:r>
              <w:rPr>
                <w:sz w:val="18"/>
              </w:rPr>
              <w:t>3.291,92</w:t>
            </w:r>
          </w:p>
        </w:tc>
        <w:tc>
          <w:tcPr>
            <w:tcW w:w="1860" w:type="dxa"/>
            <w:tcMar>
              <w:top w:w="0" w:type="dxa"/>
              <w:bottom w:w="0" w:type="dxa"/>
            </w:tcMar>
            <w:vAlign w:val="center"/>
          </w:tcPr>
          <w:p w:rsidR="00736E48" w:rsidRDefault="00F62C3A">
            <w:pPr>
              <w:keepNext/>
              <w:keepLines/>
              <w:spacing w:after="0" w:line="240" w:lineRule="auto"/>
              <w:jc w:val="right"/>
            </w:pPr>
            <w:r>
              <w:rPr>
                <w:sz w:val="18"/>
              </w:rPr>
              <w:t>4.407,84</w:t>
            </w:r>
          </w:p>
        </w:tc>
        <w:tc>
          <w:tcPr>
            <w:tcW w:w="700" w:type="dxa"/>
            <w:tcMar>
              <w:top w:w="0" w:type="dxa"/>
              <w:bottom w:w="0" w:type="dxa"/>
            </w:tcMar>
            <w:vAlign w:val="center"/>
          </w:tcPr>
          <w:p w:rsidR="00736E48" w:rsidRDefault="00F62C3A">
            <w:pPr>
              <w:keepNext/>
              <w:keepLines/>
              <w:spacing w:after="0" w:line="240" w:lineRule="auto"/>
              <w:jc w:val="right"/>
            </w:pPr>
            <w:r>
              <w:rPr>
                <w:sz w:val="18"/>
              </w:rPr>
              <w:t>133,9</w:t>
            </w:r>
          </w:p>
        </w:tc>
      </w:tr>
    </w:tbl>
    <w:p w:rsidR="00736E48" w:rsidRDefault="00736E48">
      <w:pPr>
        <w:spacing w:after="0"/>
      </w:pPr>
    </w:p>
    <w:p w:rsidR="00736E48" w:rsidRDefault="00F62C3A">
      <w:r>
        <w:t>Povećanje se odnosi na nepredviđene i ne planirane troškove za računalne usluge.</w:t>
      </w:r>
    </w:p>
    <w:p w:rsidR="00736E48" w:rsidRDefault="00736E48"/>
    <w:p w:rsidR="00736E48" w:rsidRDefault="00F62C3A">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3239</w:t>
            </w:r>
          </w:p>
        </w:tc>
        <w:tc>
          <w:tcPr>
            <w:tcW w:w="3180" w:type="dxa"/>
            <w:tcMar>
              <w:top w:w="0" w:type="dxa"/>
              <w:bottom w:w="0" w:type="dxa"/>
            </w:tcMar>
            <w:vAlign w:val="center"/>
          </w:tcPr>
          <w:p w:rsidR="00736E48" w:rsidRDefault="00F62C3A">
            <w:pPr>
              <w:keepNext/>
              <w:keepLines/>
              <w:spacing w:after="0" w:line="240" w:lineRule="auto"/>
            </w:pPr>
            <w:r>
              <w:rPr>
                <w:sz w:val="18"/>
              </w:rPr>
              <w:t>Ostale usluge</w:t>
            </w:r>
          </w:p>
        </w:tc>
        <w:tc>
          <w:tcPr>
            <w:tcW w:w="700" w:type="dxa"/>
            <w:tcMar>
              <w:top w:w="0" w:type="dxa"/>
              <w:bottom w:w="0" w:type="dxa"/>
            </w:tcMar>
            <w:vAlign w:val="center"/>
          </w:tcPr>
          <w:p w:rsidR="00736E48" w:rsidRDefault="00F62C3A">
            <w:pPr>
              <w:keepNext/>
              <w:keepLines/>
              <w:spacing w:after="0" w:line="240" w:lineRule="auto"/>
            </w:pPr>
            <w:r>
              <w:rPr>
                <w:sz w:val="18"/>
              </w:rPr>
              <w:t>3239</w:t>
            </w:r>
          </w:p>
        </w:tc>
        <w:tc>
          <w:tcPr>
            <w:tcW w:w="1860" w:type="dxa"/>
            <w:tcMar>
              <w:top w:w="0" w:type="dxa"/>
              <w:bottom w:w="0" w:type="dxa"/>
            </w:tcMar>
            <w:vAlign w:val="center"/>
          </w:tcPr>
          <w:p w:rsidR="00736E48" w:rsidRDefault="00F62C3A">
            <w:pPr>
              <w:keepNext/>
              <w:keepLines/>
              <w:spacing w:after="0" w:line="240" w:lineRule="auto"/>
              <w:jc w:val="right"/>
            </w:pPr>
            <w:r>
              <w:rPr>
                <w:sz w:val="18"/>
              </w:rPr>
              <w:t>11.899,56</w:t>
            </w:r>
          </w:p>
        </w:tc>
        <w:tc>
          <w:tcPr>
            <w:tcW w:w="1860" w:type="dxa"/>
            <w:tcMar>
              <w:top w:w="0" w:type="dxa"/>
              <w:bottom w:w="0" w:type="dxa"/>
            </w:tcMar>
            <w:vAlign w:val="center"/>
          </w:tcPr>
          <w:p w:rsidR="00736E48" w:rsidRDefault="00F62C3A">
            <w:pPr>
              <w:keepNext/>
              <w:keepLines/>
              <w:spacing w:after="0" w:line="240" w:lineRule="auto"/>
              <w:jc w:val="right"/>
            </w:pPr>
            <w:r>
              <w:rPr>
                <w:sz w:val="18"/>
              </w:rPr>
              <w:t>13.088,66</w:t>
            </w:r>
          </w:p>
        </w:tc>
        <w:tc>
          <w:tcPr>
            <w:tcW w:w="700" w:type="dxa"/>
            <w:tcMar>
              <w:top w:w="0" w:type="dxa"/>
              <w:bottom w:w="0" w:type="dxa"/>
            </w:tcMar>
            <w:vAlign w:val="center"/>
          </w:tcPr>
          <w:p w:rsidR="00736E48" w:rsidRDefault="00F62C3A">
            <w:pPr>
              <w:keepNext/>
              <w:keepLines/>
              <w:spacing w:after="0" w:line="240" w:lineRule="auto"/>
              <w:jc w:val="right"/>
            </w:pPr>
            <w:r>
              <w:rPr>
                <w:sz w:val="18"/>
              </w:rPr>
              <w:t>110,0</w:t>
            </w:r>
          </w:p>
        </w:tc>
      </w:tr>
    </w:tbl>
    <w:p w:rsidR="00736E48" w:rsidRDefault="00736E48">
      <w:pPr>
        <w:spacing w:after="0"/>
      </w:pPr>
    </w:p>
    <w:p w:rsidR="00736E48" w:rsidRDefault="00F62C3A">
      <w:r>
        <w:t>povećanje se odnosi na uslugu izrade procjene rizika kućne vodoopskrbne mreže.</w:t>
      </w:r>
    </w:p>
    <w:p w:rsidR="00736E48" w:rsidRDefault="00736E48"/>
    <w:p w:rsidR="00736E48" w:rsidRDefault="00F62C3A">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3295</w:t>
            </w:r>
          </w:p>
        </w:tc>
        <w:tc>
          <w:tcPr>
            <w:tcW w:w="3180" w:type="dxa"/>
            <w:tcMar>
              <w:top w:w="0" w:type="dxa"/>
              <w:bottom w:w="0" w:type="dxa"/>
            </w:tcMar>
            <w:vAlign w:val="center"/>
          </w:tcPr>
          <w:p w:rsidR="00736E48" w:rsidRDefault="00F62C3A">
            <w:pPr>
              <w:keepNext/>
              <w:keepLines/>
              <w:spacing w:after="0" w:line="240" w:lineRule="auto"/>
            </w:pPr>
            <w:r>
              <w:rPr>
                <w:sz w:val="18"/>
              </w:rPr>
              <w:t>Pristojbe i naknade</w:t>
            </w:r>
          </w:p>
        </w:tc>
        <w:tc>
          <w:tcPr>
            <w:tcW w:w="700" w:type="dxa"/>
            <w:tcMar>
              <w:top w:w="0" w:type="dxa"/>
              <w:bottom w:w="0" w:type="dxa"/>
            </w:tcMar>
            <w:vAlign w:val="center"/>
          </w:tcPr>
          <w:p w:rsidR="00736E48" w:rsidRDefault="00F62C3A">
            <w:pPr>
              <w:keepNext/>
              <w:keepLines/>
              <w:spacing w:after="0" w:line="240" w:lineRule="auto"/>
            </w:pPr>
            <w:r>
              <w:rPr>
                <w:sz w:val="18"/>
              </w:rPr>
              <w:t>3295</w:t>
            </w:r>
          </w:p>
        </w:tc>
        <w:tc>
          <w:tcPr>
            <w:tcW w:w="1860" w:type="dxa"/>
            <w:tcMar>
              <w:top w:w="0" w:type="dxa"/>
              <w:bottom w:w="0" w:type="dxa"/>
            </w:tcMar>
            <w:vAlign w:val="center"/>
          </w:tcPr>
          <w:p w:rsidR="00736E48" w:rsidRDefault="00F62C3A">
            <w:pPr>
              <w:keepNext/>
              <w:keepLines/>
              <w:spacing w:after="0" w:line="240" w:lineRule="auto"/>
              <w:jc w:val="right"/>
            </w:pPr>
            <w:r>
              <w:rPr>
                <w:sz w:val="18"/>
              </w:rPr>
              <w:t>2.155,58</w:t>
            </w:r>
          </w:p>
        </w:tc>
        <w:tc>
          <w:tcPr>
            <w:tcW w:w="1860" w:type="dxa"/>
            <w:tcMar>
              <w:top w:w="0" w:type="dxa"/>
              <w:bottom w:w="0" w:type="dxa"/>
            </w:tcMar>
            <w:vAlign w:val="center"/>
          </w:tcPr>
          <w:p w:rsidR="00736E48" w:rsidRDefault="00F62C3A">
            <w:pPr>
              <w:keepNext/>
              <w:keepLines/>
              <w:spacing w:after="0" w:line="240" w:lineRule="auto"/>
              <w:jc w:val="right"/>
            </w:pPr>
            <w:r>
              <w:rPr>
                <w:sz w:val="18"/>
              </w:rPr>
              <w:t>2.496,00</w:t>
            </w:r>
          </w:p>
        </w:tc>
        <w:tc>
          <w:tcPr>
            <w:tcW w:w="700" w:type="dxa"/>
            <w:tcMar>
              <w:top w:w="0" w:type="dxa"/>
              <w:bottom w:w="0" w:type="dxa"/>
            </w:tcMar>
            <w:vAlign w:val="center"/>
          </w:tcPr>
          <w:p w:rsidR="00736E48" w:rsidRDefault="00F62C3A">
            <w:pPr>
              <w:keepNext/>
              <w:keepLines/>
              <w:spacing w:after="0" w:line="240" w:lineRule="auto"/>
              <w:jc w:val="right"/>
            </w:pPr>
            <w:r>
              <w:rPr>
                <w:sz w:val="18"/>
              </w:rPr>
              <w:t>115,8</w:t>
            </w:r>
          </w:p>
        </w:tc>
      </w:tr>
    </w:tbl>
    <w:p w:rsidR="00736E48" w:rsidRDefault="00736E48">
      <w:pPr>
        <w:spacing w:after="0"/>
      </w:pPr>
    </w:p>
    <w:p w:rsidR="00736E48" w:rsidRDefault="00F62C3A">
      <w:r>
        <w:t>Povećanje rashoda u tekućem izvještajnom razdoblju u odnosu na prethodnu godinu posljedica je povećanja naknade za nezapošljavanje osoba s invaliditetom s 168 EUR na 194 EUR.</w:t>
      </w:r>
    </w:p>
    <w:p w:rsidR="00736E48" w:rsidRDefault="00736E48"/>
    <w:p w:rsidR="00736E48" w:rsidRDefault="00F62C3A">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w:t>
            </w:r>
            <w:r>
              <w:rPr>
                <w:b/>
                <w:sz w:val="18"/>
              </w:rPr>
              <w:t>oblju prethodne godine</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3299</w:t>
            </w:r>
          </w:p>
        </w:tc>
        <w:tc>
          <w:tcPr>
            <w:tcW w:w="3180" w:type="dxa"/>
            <w:tcMar>
              <w:top w:w="0" w:type="dxa"/>
              <w:bottom w:w="0" w:type="dxa"/>
            </w:tcMar>
            <w:vAlign w:val="center"/>
          </w:tcPr>
          <w:p w:rsidR="00736E48" w:rsidRDefault="00F62C3A">
            <w:pPr>
              <w:keepNext/>
              <w:keepLines/>
              <w:spacing w:after="0" w:line="240" w:lineRule="auto"/>
            </w:pPr>
            <w:r>
              <w:rPr>
                <w:sz w:val="18"/>
              </w:rPr>
              <w:t>Ostali nespomenuti rashodi poslovanja</w:t>
            </w:r>
          </w:p>
        </w:tc>
        <w:tc>
          <w:tcPr>
            <w:tcW w:w="700" w:type="dxa"/>
            <w:tcMar>
              <w:top w:w="0" w:type="dxa"/>
              <w:bottom w:w="0" w:type="dxa"/>
            </w:tcMar>
            <w:vAlign w:val="center"/>
          </w:tcPr>
          <w:p w:rsidR="00736E48" w:rsidRDefault="00F62C3A">
            <w:pPr>
              <w:keepNext/>
              <w:keepLines/>
              <w:spacing w:after="0" w:line="240" w:lineRule="auto"/>
            </w:pPr>
            <w:r>
              <w:rPr>
                <w:sz w:val="18"/>
              </w:rPr>
              <w:t>3299</w:t>
            </w:r>
          </w:p>
        </w:tc>
        <w:tc>
          <w:tcPr>
            <w:tcW w:w="1860" w:type="dxa"/>
            <w:tcMar>
              <w:top w:w="0" w:type="dxa"/>
              <w:bottom w:w="0" w:type="dxa"/>
            </w:tcMar>
            <w:vAlign w:val="center"/>
          </w:tcPr>
          <w:p w:rsidR="00736E48" w:rsidRDefault="00F62C3A">
            <w:pPr>
              <w:keepNext/>
              <w:keepLines/>
              <w:spacing w:after="0" w:line="240" w:lineRule="auto"/>
              <w:jc w:val="right"/>
            </w:pPr>
            <w:r>
              <w:rPr>
                <w:sz w:val="18"/>
              </w:rPr>
              <w:t>8.334,48</w:t>
            </w:r>
          </w:p>
        </w:tc>
        <w:tc>
          <w:tcPr>
            <w:tcW w:w="1860" w:type="dxa"/>
            <w:tcMar>
              <w:top w:w="0" w:type="dxa"/>
              <w:bottom w:w="0" w:type="dxa"/>
            </w:tcMar>
            <w:vAlign w:val="center"/>
          </w:tcPr>
          <w:p w:rsidR="00736E48" w:rsidRDefault="00F62C3A">
            <w:pPr>
              <w:keepNext/>
              <w:keepLines/>
              <w:spacing w:after="0" w:line="240" w:lineRule="auto"/>
              <w:jc w:val="right"/>
            </w:pPr>
            <w:r>
              <w:rPr>
                <w:sz w:val="18"/>
              </w:rPr>
              <w:t>9.728,84</w:t>
            </w:r>
          </w:p>
        </w:tc>
        <w:tc>
          <w:tcPr>
            <w:tcW w:w="700" w:type="dxa"/>
            <w:tcMar>
              <w:top w:w="0" w:type="dxa"/>
              <w:bottom w:w="0" w:type="dxa"/>
            </w:tcMar>
            <w:vAlign w:val="center"/>
          </w:tcPr>
          <w:p w:rsidR="00736E48" w:rsidRDefault="00F62C3A">
            <w:pPr>
              <w:keepNext/>
              <w:keepLines/>
              <w:spacing w:after="0" w:line="240" w:lineRule="auto"/>
              <w:jc w:val="right"/>
            </w:pPr>
            <w:r>
              <w:rPr>
                <w:sz w:val="18"/>
              </w:rPr>
              <w:t>116,7</w:t>
            </w:r>
          </w:p>
        </w:tc>
      </w:tr>
    </w:tbl>
    <w:p w:rsidR="00736E48" w:rsidRDefault="00736E48">
      <w:pPr>
        <w:spacing w:after="0"/>
      </w:pPr>
    </w:p>
    <w:p w:rsidR="00736E48" w:rsidRDefault="00F62C3A">
      <w:r>
        <w:t>Povećanje se odnosi najvećim dijelom na nepredviđene rashode poslovanja i protokola.</w:t>
      </w:r>
    </w:p>
    <w:p w:rsidR="00736E48" w:rsidRDefault="00736E48"/>
    <w:p w:rsidR="00736E48" w:rsidRDefault="00F62C3A">
      <w:pPr>
        <w:keepNext/>
        <w:spacing w:line="240" w:lineRule="auto"/>
        <w:jc w:val="center"/>
      </w:pPr>
      <w:r>
        <w:rPr>
          <w:b/>
          <w:sz w:val="28"/>
        </w:rPr>
        <w:lastRenderedPageBreak/>
        <w:t>Bilanca</w:t>
      </w:r>
    </w:p>
    <w:p w:rsidR="00736E48" w:rsidRDefault="00F62C3A">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12</w:t>
            </w:r>
          </w:p>
        </w:tc>
        <w:tc>
          <w:tcPr>
            <w:tcW w:w="3180" w:type="dxa"/>
            <w:tcMar>
              <w:top w:w="0" w:type="dxa"/>
              <w:bottom w:w="0" w:type="dxa"/>
            </w:tcMar>
            <w:vAlign w:val="center"/>
          </w:tcPr>
          <w:p w:rsidR="00736E48" w:rsidRDefault="00F62C3A">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rsidR="00736E48" w:rsidRDefault="00F62C3A">
            <w:pPr>
              <w:keepNext/>
              <w:keepLines/>
              <w:spacing w:after="0" w:line="240" w:lineRule="auto"/>
            </w:pPr>
            <w:r>
              <w:rPr>
                <w:sz w:val="18"/>
              </w:rPr>
              <w:t>12</w:t>
            </w:r>
          </w:p>
        </w:tc>
        <w:tc>
          <w:tcPr>
            <w:tcW w:w="1860" w:type="dxa"/>
            <w:tcMar>
              <w:top w:w="0" w:type="dxa"/>
              <w:bottom w:w="0" w:type="dxa"/>
            </w:tcMar>
            <w:vAlign w:val="center"/>
          </w:tcPr>
          <w:p w:rsidR="00736E48" w:rsidRDefault="00F62C3A">
            <w:pPr>
              <w:keepNext/>
              <w:keepLines/>
              <w:spacing w:after="0" w:line="240" w:lineRule="auto"/>
              <w:jc w:val="right"/>
            </w:pPr>
            <w:r>
              <w:rPr>
                <w:sz w:val="18"/>
              </w:rPr>
              <w:t>23,23</w:t>
            </w:r>
          </w:p>
        </w:tc>
        <w:tc>
          <w:tcPr>
            <w:tcW w:w="1860" w:type="dxa"/>
            <w:tcMar>
              <w:top w:w="0" w:type="dxa"/>
              <w:bottom w:w="0" w:type="dxa"/>
            </w:tcMar>
            <w:vAlign w:val="center"/>
          </w:tcPr>
          <w:p w:rsidR="00736E48" w:rsidRDefault="00F62C3A">
            <w:pPr>
              <w:keepNext/>
              <w:keepLines/>
              <w:spacing w:after="0" w:line="240" w:lineRule="auto"/>
              <w:jc w:val="right"/>
            </w:pPr>
            <w:r>
              <w:rPr>
                <w:sz w:val="18"/>
              </w:rPr>
              <w:t>642,20</w:t>
            </w:r>
          </w:p>
        </w:tc>
        <w:tc>
          <w:tcPr>
            <w:tcW w:w="700" w:type="dxa"/>
            <w:tcMar>
              <w:top w:w="0" w:type="dxa"/>
              <w:bottom w:w="0" w:type="dxa"/>
            </w:tcMar>
            <w:vAlign w:val="center"/>
          </w:tcPr>
          <w:p w:rsidR="00736E48" w:rsidRDefault="00F62C3A">
            <w:pPr>
              <w:keepNext/>
              <w:keepLines/>
              <w:spacing w:after="0" w:line="240" w:lineRule="auto"/>
              <w:jc w:val="right"/>
            </w:pPr>
            <w:r>
              <w:rPr>
                <w:sz w:val="18"/>
              </w:rPr>
              <w:t>2764,5</w:t>
            </w:r>
          </w:p>
        </w:tc>
      </w:tr>
    </w:tbl>
    <w:p w:rsidR="00736E48" w:rsidRDefault="00736E48">
      <w:pPr>
        <w:spacing w:after="0"/>
      </w:pPr>
    </w:p>
    <w:p w:rsidR="00736E48" w:rsidRDefault="00F62C3A">
      <w:r>
        <w:t>Povećanje ove stavke nastalo je zbog evidentiranja potraživanja koja do kraja godine nisu naplaćena, a odnose se uglavnom na refundacije naknada plaće (bolovanja) od strane HZZO-a, kao i na ostala privremena potraživanja. Navedena potraživanja očekuju se z</w:t>
      </w:r>
      <w:r>
        <w:t>a naplatu u sljedećem obračunskom razdoblju te imaju privremeni karakter.</w:t>
      </w:r>
    </w:p>
    <w:p w:rsidR="00736E48" w:rsidRDefault="00736E48"/>
    <w:p w:rsidR="00736E48" w:rsidRDefault="00F62C3A">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16</w:t>
            </w:r>
          </w:p>
        </w:tc>
        <w:tc>
          <w:tcPr>
            <w:tcW w:w="3180" w:type="dxa"/>
            <w:tcMar>
              <w:top w:w="0" w:type="dxa"/>
              <w:bottom w:w="0" w:type="dxa"/>
            </w:tcMar>
            <w:vAlign w:val="center"/>
          </w:tcPr>
          <w:p w:rsidR="00736E48" w:rsidRDefault="00F62C3A">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736E48" w:rsidRDefault="00F62C3A">
            <w:pPr>
              <w:keepNext/>
              <w:keepLines/>
              <w:spacing w:after="0" w:line="240" w:lineRule="auto"/>
            </w:pPr>
            <w:r>
              <w:rPr>
                <w:sz w:val="18"/>
              </w:rPr>
              <w:t>16</w:t>
            </w:r>
          </w:p>
        </w:tc>
        <w:tc>
          <w:tcPr>
            <w:tcW w:w="1860" w:type="dxa"/>
            <w:tcMar>
              <w:top w:w="0" w:type="dxa"/>
              <w:bottom w:w="0" w:type="dxa"/>
            </w:tcMar>
            <w:vAlign w:val="center"/>
          </w:tcPr>
          <w:p w:rsidR="00736E48" w:rsidRDefault="00F62C3A">
            <w:pPr>
              <w:keepNext/>
              <w:keepLines/>
              <w:spacing w:after="0" w:line="240" w:lineRule="auto"/>
              <w:jc w:val="right"/>
            </w:pPr>
            <w:r>
              <w:rPr>
                <w:sz w:val="18"/>
              </w:rPr>
              <w:t>45.739,04</w:t>
            </w:r>
          </w:p>
        </w:tc>
        <w:tc>
          <w:tcPr>
            <w:tcW w:w="1860" w:type="dxa"/>
            <w:tcMar>
              <w:top w:w="0" w:type="dxa"/>
              <w:bottom w:w="0" w:type="dxa"/>
            </w:tcMar>
            <w:vAlign w:val="center"/>
          </w:tcPr>
          <w:p w:rsidR="00736E48" w:rsidRDefault="00F62C3A">
            <w:pPr>
              <w:keepNext/>
              <w:keepLines/>
              <w:spacing w:after="0" w:line="240" w:lineRule="auto"/>
              <w:jc w:val="right"/>
            </w:pPr>
            <w:r>
              <w:rPr>
                <w:sz w:val="18"/>
              </w:rPr>
              <w:t>118.033,94</w:t>
            </w:r>
          </w:p>
        </w:tc>
        <w:tc>
          <w:tcPr>
            <w:tcW w:w="700" w:type="dxa"/>
            <w:tcMar>
              <w:top w:w="0" w:type="dxa"/>
              <w:bottom w:w="0" w:type="dxa"/>
            </w:tcMar>
            <w:vAlign w:val="center"/>
          </w:tcPr>
          <w:p w:rsidR="00736E48" w:rsidRDefault="00F62C3A">
            <w:pPr>
              <w:keepNext/>
              <w:keepLines/>
              <w:spacing w:after="0" w:line="240" w:lineRule="auto"/>
              <w:jc w:val="right"/>
            </w:pPr>
            <w:r>
              <w:rPr>
                <w:sz w:val="18"/>
              </w:rPr>
              <w:t>258,1</w:t>
            </w:r>
          </w:p>
        </w:tc>
      </w:tr>
    </w:tbl>
    <w:p w:rsidR="00736E48" w:rsidRDefault="00736E48">
      <w:pPr>
        <w:spacing w:after="0"/>
      </w:pPr>
    </w:p>
    <w:p w:rsidR="00736E48" w:rsidRDefault="00F62C3A">
      <w:r>
        <w:t xml:space="preserve">Povećanje se odnosi na potraživanja za pomoći unutar općeg proračuna. Sukladno primjeni </w:t>
      </w:r>
      <w:proofErr w:type="spellStart"/>
      <w:r>
        <w:t>nobog</w:t>
      </w:r>
      <w:proofErr w:type="spellEnd"/>
      <w:r>
        <w:t xml:space="preserve"> Pravilnika o proračunskom računovodstvu, potraživanja za pomoći iz inozemstva i od subjekata unutar općeg proračuna, evidentiraju se odvojeno, osim potraživanja k</w:t>
      </w:r>
      <w:r>
        <w:t>oja se odnose na pomoći iz nadležnog proračuna.</w:t>
      </w:r>
    </w:p>
    <w:p w:rsidR="00736E48" w:rsidRDefault="00736E48"/>
    <w:p w:rsidR="00736E48" w:rsidRDefault="00F62C3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19</w:t>
            </w:r>
          </w:p>
        </w:tc>
        <w:tc>
          <w:tcPr>
            <w:tcW w:w="3180" w:type="dxa"/>
            <w:tcMar>
              <w:top w:w="0" w:type="dxa"/>
              <w:bottom w:w="0" w:type="dxa"/>
            </w:tcMar>
            <w:vAlign w:val="center"/>
          </w:tcPr>
          <w:p w:rsidR="00736E48" w:rsidRDefault="00F62C3A">
            <w:pPr>
              <w:keepNext/>
              <w:keepLines/>
              <w:spacing w:after="0" w:line="240" w:lineRule="auto"/>
            </w:pPr>
            <w:r>
              <w:rPr>
                <w:sz w:val="18"/>
              </w:rPr>
              <w:t>Rashodi budućih razdoblja i nedospjela naplata prihoda (aktivna vremenska razgraničenja) (šifre 191 do</w:t>
            </w:r>
            <w:r>
              <w:rPr>
                <w:sz w:val="18"/>
              </w:rPr>
              <w:t xml:space="preserve"> 193)</w:t>
            </w:r>
          </w:p>
        </w:tc>
        <w:tc>
          <w:tcPr>
            <w:tcW w:w="700" w:type="dxa"/>
            <w:tcMar>
              <w:top w:w="0" w:type="dxa"/>
              <w:bottom w:w="0" w:type="dxa"/>
            </w:tcMar>
            <w:vAlign w:val="center"/>
          </w:tcPr>
          <w:p w:rsidR="00736E48" w:rsidRDefault="00F62C3A">
            <w:pPr>
              <w:keepNext/>
              <w:keepLines/>
              <w:spacing w:after="0" w:line="240" w:lineRule="auto"/>
            </w:pPr>
            <w:r>
              <w:rPr>
                <w:sz w:val="18"/>
              </w:rPr>
              <w:t>19</w:t>
            </w:r>
          </w:p>
        </w:tc>
        <w:tc>
          <w:tcPr>
            <w:tcW w:w="1860" w:type="dxa"/>
            <w:tcMar>
              <w:top w:w="0" w:type="dxa"/>
              <w:bottom w:w="0" w:type="dxa"/>
            </w:tcMar>
            <w:vAlign w:val="center"/>
          </w:tcPr>
          <w:p w:rsidR="00736E48" w:rsidRDefault="00F62C3A">
            <w:pPr>
              <w:keepNext/>
              <w:keepLines/>
              <w:spacing w:after="0" w:line="240" w:lineRule="auto"/>
              <w:jc w:val="right"/>
            </w:pPr>
            <w:r>
              <w:rPr>
                <w:sz w:val="18"/>
              </w:rPr>
              <w:t>70.211,26</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700" w:type="dxa"/>
            <w:tcMar>
              <w:top w:w="0" w:type="dxa"/>
              <w:bottom w:w="0" w:type="dxa"/>
            </w:tcMar>
            <w:vAlign w:val="center"/>
          </w:tcPr>
          <w:p w:rsidR="00736E48" w:rsidRDefault="00F62C3A">
            <w:pPr>
              <w:keepNext/>
              <w:keepLines/>
              <w:spacing w:after="0" w:line="240" w:lineRule="auto"/>
              <w:jc w:val="right"/>
            </w:pPr>
            <w:r>
              <w:rPr>
                <w:sz w:val="18"/>
              </w:rPr>
              <w:t>0</w:t>
            </w:r>
          </w:p>
        </w:tc>
      </w:tr>
    </w:tbl>
    <w:p w:rsidR="00736E48" w:rsidRDefault="00736E48">
      <w:pPr>
        <w:spacing w:after="0"/>
      </w:pPr>
    </w:p>
    <w:p w:rsidR="00736E48" w:rsidRDefault="00F62C3A">
      <w:r>
        <w:t>Rashodi budućih razdoblja i nedospjelih naplata prihoda-aktivna vremenska razgraničenja promjenom Pravilnika o proračunskom računovodstvu više se ne koriste.</w:t>
      </w:r>
    </w:p>
    <w:p w:rsidR="00736E48" w:rsidRDefault="00736E48"/>
    <w:p w:rsidR="00736E48" w:rsidRDefault="00F62C3A">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96</w:t>
            </w:r>
          </w:p>
        </w:tc>
        <w:tc>
          <w:tcPr>
            <w:tcW w:w="3180" w:type="dxa"/>
            <w:tcMar>
              <w:top w:w="0" w:type="dxa"/>
              <w:bottom w:w="0" w:type="dxa"/>
            </w:tcMar>
            <w:vAlign w:val="center"/>
          </w:tcPr>
          <w:p w:rsidR="00736E48" w:rsidRDefault="00F62C3A">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736E48" w:rsidRDefault="00F62C3A">
            <w:pPr>
              <w:keepNext/>
              <w:keepLines/>
              <w:spacing w:after="0" w:line="240" w:lineRule="auto"/>
            </w:pPr>
            <w:r>
              <w:rPr>
                <w:sz w:val="18"/>
              </w:rPr>
              <w:t>96</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1860" w:type="dxa"/>
            <w:tcMar>
              <w:top w:w="0" w:type="dxa"/>
              <w:bottom w:w="0" w:type="dxa"/>
            </w:tcMar>
            <w:vAlign w:val="center"/>
          </w:tcPr>
          <w:p w:rsidR="00736E48" w:rsidRDefault="00F62C3A">
            <w:pPr>
              <w:keepNext/>
              <w:keepLines/>
              <w:spacing w:after="0" w:line="240" w:lineRule="auto"/>
              <w:jc w:val="right"/>
            </w:pPr>
            <w:r>
              <w:rPr>
                <w:sz w:val="18"/>
              </w:rPr>
              <w:t>74.633,38</w:t>
            </w:r>
          </w:p>
        </w:tc>
        <w:tc>
          <w:tcPr>
            <w:tcW w:w="700" w:type="dxa"/>
            <w:tcMar>
              <w:top w:w="0" w:type="dxa"/>
              <w:bottom w:w="0" w:type="dxa"/>
            </w:tcMar>
            <w:vAlign w:val="center"/>
          </w:tcPr>
          <w:p w:rsidR="00736E48" w:rsidRDefault="00F62C3A">
            <w:pPr>
              <w:keepNext/>
              <w:keepLines/>
              <w:spacing w:after="0" w:line="240" w:lineRule="auto"/>
              <w:jc w:val="right"/>
            </w:pPr>
            <w:r>
              <w:rPr>
                <w:sz w:val="18"/>
              </w:rPr>
              <w:t>-</w:t>
            </w:r>
          </w:p>
        </w:tc>
      </w:tr>
    </w:tbl>
    <w:p w:rsidR="00736E48" w:rsidRDefault="00736E48">
      <w:pPr>
        <w:spacing w:after="0"/>
      </w:pPr>
    </w:p>
    <w:p w:rsidR="00736E48" w:rsidRDefault="00F62C3A">
      <w:r>
        <w:lastRenderedPageBreak/>
        <w:t xml:space="preserve">Povećanje se odnosi na primljene pomoći iz inozemstva ili od subjekata unutar općeg proračuna koji nije nadležan. donošenjem novog pravilnika o proračunskom računovodstvu evidentiraju se primljene pomoći od drugih </w:t>
      </w:r>
      <w:proofErr w:type="spellStart"/>
      <w:r>
        <w:t>proračunna</w:t>
      </w:r>
      <w:proofErr w:type="spellEnd"/>
      <w:r>
        <w:t>, kako što je pomoć od Ministars</w:t>
      </w:r>
      <w:r>
        <w:t>tva za isplatu plaća.</w:t>
      </w:r>
    </w:p>
    <w:p w:rsidR="00736E48" w:rsidRDefault="00736E48"/>
    <w:p w:rsidR="00736E48" w:rsidRDefault="00F62C3A">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dio 23</w:t>
            </w:r>
          </w:p>
        </w:tc>
        <w:tc>
          <w:tcPr>
            <w:tcW w:w="3180" w:type="dxa"/>
            <w:tcMar>
              <w:top w:w="0" w:type="dxa"/>
              <w:bottom w:w="0" w:type="dxa"/>
            </w:tcMar>
            <w:vAlign w:val="center"/>
          </w:tcPr>
          <w:p w:rsidR="00736E48" w:rsidRDefault="00F62C3A">
            <w:pPr>
              <w:keepNext/>
              <w:keepLines/>
              <w:spacing w:after="0" w:line="240" w:lineRule="auto"/>
            </w:pPr>
            <w:r>
              <w:rPr>
                <w:sz w:val="18"/>
              </w:rPr>
              <w:t>Obveze za rashode poslovanja - nedospjele</w:t>
            </w:r>
          </w:p>
        </w:tc>
        <w:tc>
          <w:tcPr>
            <w:tcW w:w="700" w:type="dxa"/>
            <w:tcMar>
              <w:top w:w="0" w:type="dxa"/>
              <w:bottom w:w="0" w:type="dxa"/>
            </w:tcMar>
            <w:vAlign w:val="center"/>
          </w:tcPr>
          <w:p w:rsidR="00736E48" w:rsidRDefault="00F62C3A">
            <w:pPr>
              <w:keepNext/>
              <w:keepLines/>
              <w:spacing w:after="0" w:line="240" w:lineRule="auto"/>
            </w:pPr>
            <w:r>
              <w:rPr>
                <w:sz w:val="18"/>
              </w:rPr>
              <w:t>dio 23 N</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1860" w:type="dxa"/>
            <w:tcMar>
              <w:top w:w="0" w:type="dxa"/>
              <w:bottom w:w="0" w:type="dxa"/>
            </w:tcMar>
            <w:vAlign w:val="center"/>
          </w:tcPr>
          <w:p w:rsidR="00736E48" w:rsidRDefault="00F62C3A">
            <w:pPr>
              <w:keepNext/>
              <w:keepLines/>
              <w:spacing w:after="0" w:line="240" w:lineRule="auto"/>
              <w:jc w:val="right"/>
            </w:pPr>
            <w:r>
              <w:rPr>
                <w:sz w:val="18"/>
              </w:rPr>
              <w:t>86.976,42</w:t>
            </w:r>
          </w:p>
        </w:tc>
        <w:tc>
          <w:tcPr>
            <w:tcW w:w="700" w:type="dxa"/>
            <w:tcMar>
              <w:top w:w="0" w:type="dxa"/>
              <w:bottom w:w="0" w:type="dxa"/>
            </w:tcMar>
            <w:vAlign w:val="center"/>
          </w:tcPr>
          <w:p w:rsidR="00736E48" w:rsidRDefault="00F62C3A">
            <w:pPr>
              <w:keepNext/>
              <w:keepLines/>
              <w:spacing w:after="0" w:line="240" w:lineRule="auto"/>
              <w:jc w:val="right"/>
            </w:pPr>
            <w:r>
              <w:rPr>
                <w:sz w:val="18"/>
              </w:rPr>
              <w:t>-</w:t>
            </w:r>
          </w:p>
        </w:tc>
      </w:tr>
    </w:tbl>
    <w:p w:rsidR="00736E48" w:rsidRDefault="00736E48">
      <w:pPr>
        <w:spacing w:after="0"/>
      </w:pPr>
    </w:p>
    <w:p w:rsidR="00736E48" w:rsidRDefault="00F62C3A">
      <w:r>
        <w:t>U Bilanci su obveze iz dijela 23 ispravno iskazane kao nedospjele, sukladno Izvještaju o obvezama. Prvotno pogrešno iskazivanje obveza kao dospjelih je ispravljeno.</w:t>
      </w:r>
    </w:p>
    <w:p w:rsidR="00736E48" w:rsidRDefault="00736E48"/>
    <w:p w:rsidR="00736E48" w:rsidRDefault="00F62C3A">
      <w:pPr>
        <w:keepNext/>
        <w:spacing w:line="240" w:lineRule="auto"/>
        <w:jc w:val="center"/>
      </w:pPr>
      <w:r>
        <w:rPr>
          <w:b/>
          <w:sz w:val="28"/>
        </w:rPr>
        <w:t>Promjene u vrijednosti i obujmu imovine i obveza</w:t>
      </w:r>
    </w:p>
    <w:p w:rsidR="00736E48" w:rsidRDefault="00F62C3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91511</w:t>
            </w:r>
          </w:p>
        </w:tc>
        <w:tc>
          <w:tcPr>
            <w:tcW w:w="3180" w:type="dxa"/>
            <w:tcMar>
              <w:top w:w="0" w:type="dxa"/>
              <w:bottom w:w="0" w:type="dxa"/>
            </w:tcMar>
            <w:vAlign w:val="center"/>
          </w:tcPr>
          <w:p w:rsidR="00736E48" w:rsidRDefault="00F62C3A">
            <w:pPr>
              <w:keepNext/>
              <w:keepLines/>
              <w:spacing w:after="0" w:line="240" w:lineRule="auto"/>
            </w:pPr>
            <w:r>
              <w:rPr>
                <w:sz w:val="18"/>
              </w:rPr>
              <w:t>Promjene u vrijednosti imovine (šifre P001+P008)</w:t>
            </w:r>
          </w:p>
        </w:tc>
        <w:tc>
          <w:tcPr>
            <w:tcW w:w="700" w:type="dxa"/>
            <w:tcMar>
              <w:top w:w="0" w:type="dxa"/>
              <w:bottom w:w="0" w:type="dxa"/>
            </w:tcMar>
            <w:vAlign w:val="center"/>
          </w:tcPr>
          <w:p w:rsidR="00736E48" w:rsidRDefault="00F62C3A">
            <w:pPr>
              <w:keepNext/>
              <w:keepLines/>
              <w:spacing w:after="0" w:line="240" w:lineRule="auto"/>
            </w:pPr>
            <w:r>
              <w:rPr>
                <w:sz w:val="18"/>
              </w:rPr>
              <w:t>91511</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1860" w:type="dxa"/>
            <w:tcMar>
              <w:top w:w="0" w:type="dxa"/>
              <w:bottom w:w="0" w:type="dxa"/>
            </w:tcMar>
            <w:vAlign w:val="center"/>
          </w:tcPr>
          <w:p w:rsidR="00736E48" w:rsidRDefault="00F62C3A">
            <w:pPr>
              <w:keepNext/>
              <w:keepLines/>
              <w:spacing w:after="0" w:line="240" w:lineRule="auto"/>
              <w:jc w:val="right"/>
            </w:pPr>
            <w:r>
              <w:rPr>
                <w:sz w:val="18"/>
              </w:rPr>
              <w:t>36.438,81</w:t>
            </w:r>
          </w:p>
        </w:tc>
        <w:tc>
          <w:tcPr>
            <w:tcW w:w="700" w:type="dxa"/>
            <w:tcMar>
              <w:top w:w="0" w:type="dxa"/>
              <w:bottom w:w="0" w:type="dxa"/>
            </w:tcMar>
            <w:vAlign w:val="center"/>
          </w:tcPr>
          <w:p w:rsidR="00736E48" w:rsidRDefault="00F62C3A">
            <w:pPr>
              <w:keepNext/>
              <w:keepLines/>
              <w:spacing w:after="0" w:line="240" w:lineRule="auto"/>
              <w:jc w:val="right"/>
            </w:pPr>
            <w:r>
              <w:rPr>
                <w:sz w:val="18"/>
              </w:rPr>
              <w:t>-</w:t>
            </w:r>
          </w:p>
        </w:tc>
      </w:tr>
    </w:tbl>
    <w:p w:rsidR="00736E48" w:rsidRDefault="00736E48">
      <w:pPr>
        <w:spacing w:after="0"/>
      </w:pPr>
    </w:p>
    <w:p w:rsidR="00736E48" w:rsidRDefault="00F62C3A">
      <w:r>
        <w:t xml:space="preserve">Smanjenje se odnosi na obračunatu amortizaciju-ispravak </w:t>
      </w:r>
      <w:proofErr w:type="spellStart"/>
      <w:r>
        <w:t>vrijedosti</w:t>
      </w:r>
      <w:proofErr w:type="spellEnd"/>
      <w:r>
        <w:t xml:space="preserve"> dugotrajne imovine za 2025. godinu.</w:t>
      </w:r>
    </w:p>
    <w:p w:rsidR="00736E48" w:rsidRDefault="00736E48"/>
    <w:p w:rsidR="00736E48" w:rsidRDefault="00F62C3A">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Račun</w:t>
            </w:r>
            <w:r>
              <w:rPr>
                <w:b/>
                <w:sz w:val="18"/>
              </w:rPr>
              <w:t xml:space="preserve">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F62C3A">
            <w:pPr>
              <w:keepNext/>
              <w:keepLines/>
              <w:spacing w:after="0" w:line="240" w:lineRule="auto"/>
            </w:pPr>
            <w:r>
              <w:rPr>
                <w:sz w:val="18"/>
              </w:rPr>
              <w:t>91512</w:t>
            </w:r>
          </w:p>
        </w:tc>
        <w:tc>
          <w:tcPr>
            <w:tcW w:w="3180" w:type="dxa"/>
            <w:tcMar>
              <w:top w:w="0" w:type="dxa"/>
              <w:bottom w:w="0" w:type="dxa"/>
            </w:tcMar>
            <w:vAlign w:val="center"/>
          </w:tcPr>
          <w:p w:rsidR="00736E48" w:rsidRDefault="00F62C3A">
            <w:pPr>
              <w:keepNext/>
              <w:keepLines/>
              <w:spacing w:after="0" w:line="240" w:lineRule="auto"/>
            </w:pPr>
            <w:r>
              <w:rPr>
                <w:sz w:val="18"/>
              </w:rPr>
              <w:t>Promjene u obujmu imovine (šifre P016+P023)</w:t>
            </w:r>
          </w:p>
        </w:tc>
        <w:tc>
          <w:tcPr>
            <w:tcW w:w="700" w:type="dxa"/>
            <w:tcMar>
              <w:top w:w="0" w:type="dxa"/>
              <w:bottom w:w="0" w:type="dxa"/>
            </w:tcMar>
            <w:vAlign w:val="center"/>
          </w:tcPr>
          <w:p w:rsidR="00736E48" w:rsidRDefault="00F62C3A">
            <w:pPr>
              <w:keepNext/>
              <w:keepLines/>
              <w:spacing w:after="0" w:line="240" w:lineRule="auto"/>
            </w:pPr>
            <w:r>
              <w:rPr>
                <w:sz w:val="18"/>
              </w:rPr>
              <w:t>91512</w:t>
            </w:r>
          </w:p>
        </w:tc>
        <w:tc>
          <w:tcPr>
            <w:tcW w:w="1860" w:type="dxa"/>
            <w:tcMar>
              <w:top w:w="0" w:type="dxa"/>
              <w:bottom w:w="0" w:type="dxa"/>
            </w:tcMar>
            <w:vAlign w:val="center"/>
          </w:tcPr>
          <w:p w:rsidR="00736E48" w:rsidRDefault="00F62C3A">
            <w:pPr>
              <w:keepNext/>
              <w:keepLines/>
              <w:spacing w:after="0" w:line="240" w:lineRule="auto"/>
              <w:jc w:val="right"/>
            </w:pPr>
            <w:r>
              <w:rPr>
                <w:sz w:val="18"/>
              </w:rPr>
              <w:t>1.110,90</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700" w:type="dxa"/>
            <w:tcMar>
              <w:top w:w="0" w:type="dxa"/>
              <w:bottom w:w="0" w:type="dxa"/>
            </w:tcMar>
            <w:vAlign w:val="center"/>
          </w:tcPr>
          <w:p w:rsidR="00736E48" w:rsidRDefault="00F62C3A">
            <w:pPr>
              <w:keepNext/>
              <w:keepLines/>
              <w:spacing w:after="0" w:line="240" w:lineRule="auto"/>
              <w:jc w:val="right"/>
            </w:pPr>
            <w:r>
              <w:rPr>
                <w:sz w:val="18"/>
              </w:rPr>
              <w:t>0</w:t>
            </w:r>
          </w:p>
        </w:tc>
      </w:tr>
    </w:tbl>
    <w:p w:rsidR="00736E48" w:rsidRDefault="00736E48">
      <w:pPr>
        <w:spacing w:after="0"/>
      </w:pPr>
    </w:p>
    <w:p w:rsidR="00736E48" w:rsidRDefault="00F62C3A">
      <w:r>
        <w:t xml:space="preserve">Povećanje se odnosi na donaciju Šibensko-kninske županije, temeljem koje je na Osnovnu školu Jakova Gotovca preneseno šest (6) komada </w:t>
      </w:r>
      <w:proofErr w:type="spellStart"/>
      <w:r>
        <w:t>Lenovo</w:t>
      </w:r>
      <w:proofErr w:type="spellEnd"/>
      <w:r>
        <w:t xml:space="preserve"> tableta (Android 9.0) u ukupnoj vrijednosti od 1.110,90 EUR.</w:t>
      </w:r>
    </w:p>
    <w:p w:rsidR="00736E48" w:rsidRDefault="00736E48"/>
    <w:p w:rsidR="00736E48" w:rsidRDefault="00F62C3A">
      <w:pPr>
        <w:keepNext/>
        <w:spacing w:line="240" w:lineRule="auto"/>
        <w:jc w:val="center"/>
      </w:pPr>
      <w:r>
        <w:rPr>
          <w:b/>
          <w:sz w:val="28"/>
        </w:rPr>
        <w:lastRenderedPageBreak/>
        <w:t>Izvještaj o obvezama</w:t>
      </w:r>
    </w:p>
    <w:p w:rsidR="00736E48" w:rsidRDefault="00F62C3A">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36E48">
        <w:tblPrEx>
          <w:tblCellMar>
            <w:top w:w="0" w:type="dxa"/>
            <w:bottom w:w="0" w:type="dxa"/>
          </w:tblCellMar>
        </w:tblPrEx>
        <w:trPr>
          <w:cantSplit/>
        </w:trPr>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36E48" w:rsidRDefault="00F62C3A">
            <w:pPr>
              <w:keepNext/>
              <w:keepLines/>
              <w:spacing w:after="0" w:line="240" w:lineRule="auto"/>
              <w:jc w:val="center"/>
            </w:pPr>
            <w:r>
              <w:rPr>
                <w:b/>
                <w:sz w:val="18"/>
              </w:rPr>
              <w:t>Indeks (%)</w:t>
            </w:r>
          </w:p>
        </w:tc>
      </w:tr>
      <w:tr w:rsidR="00736E48">
        <w:tblPrEx>
          <w:tblCellMar>
            <w:top w:w="0" w:type="dxa"/>
            <w:bottom w:w="0" w:type="dxa"/>
          </w:tblCellMar>
        </w:tblPrEx>
        <w:trPr>
          <w:cantSplit/>
          <w:trHeight w:val="560"/>
        </w:trPr>
        <w:tc>
          <w:tcPr>
            <w:tcW w:w="700" w:type="dxa"/>
            <w:tcMar>
              <w:top w:w="0" w:type="dxa"/>
              <w:bottom w:w="0" w:type="dxa"/>
            </w:tcMar>
            <w:vAlign w:val="center"/>
          </w:tcPr>
          <w:p w:rsidR="00736E48" w:rsidRDefault="00736E48">
            <w:pPr>
              <w:keepNext/>
              <w:keepLines/>
              <w:spacing w:after="0" w:line="240" w:lineRule="auto"/>
            </w:pPr>
          </w:p>
        </w:tc>
        <w:tc>
          <w:tcPr>
            <w:tcW w:w="3180" w:type="dxa"/>
            <w:tcMar>
              <w:top w:w="0" w:type="dxa"/>
              <w:bottom w:w="0" w:type="dxa"/>
            </w:tcMar>
            <w:vAlign w:val="center"/>
          </w:tcPr>
          <w:p w:rsidR="00736E48" w:rsidRDefault="00F62C3A">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36E48" w:rsidRDefault="00F62C3A">
            <w:pPr>
              <w:keepNext/>
              <w:keepLines/>
              <w:spacing w:after="0" w:line="240" w:lineRule="auto"/>
            </w:pPr>
            <w:r>
              <w:rPr>
                <w:sz w:val="18"/>
              </w:rPr>
              <w:t>V007</w:t>
            </w:r>
          </w:p>
        </w:tc>
        <w:tc>
          <w:tcPr>
            <w:tcW w:w="1860" w:type="dxa"/>
            <w:tcMar>
              <w:top w:w="0" w:type="dxa"/>
              <w:bottom w:w="0" w:type="dxa"/>
            </w:tcMar>
            <w:vAlign w:val="center"/>
          </w:tcPr>
          <w:p w:rsidR="00736E48" w:rsidRDefault="00F62C3A">
            <w:pPr>
              <w:keepNext/>
              <w:keepLines/>
              <w:spacing w:after="0" w:line="240" w:lineRule="auto"/>
              <w:jc w:val="right"/>
            </w:pPr>
            <w:r>
              <w:rPr>
                <w:sz w:val="18"/>
              </w:rPr>
              <w:t>0,00</w:t>
            </w:r>
          </w:p>
        </w:tc>
        <w:tc>
          <w:tcPr>
            <w:tcW w:w="700" w:type="dxa"/>
            <w:tcMar>
              <w:top w:w="0" w:type="dxa"/>
              <w:bottom w:w="0" w:type="dxa"/>
            </w:tcMar>
            <w:vAlign w:val="center"/>
          </w:tcPr>
          <w:p w:rsidR="00736E48" w:rsidRDefault="00F62C3A">
            <w:pPr>
              <w:keepNext/>
              <w:keepLines/>
              <w:spacing w:after="0" w:line="240" w:lineRule="auto"/>
              <w:jc w:val="right"/>
            </w:pPr>
            <w:r>
              <w:rPr>
                <w:sz w:val="18"/>
              </w:rPr>
              <w:t>-</w:t>
            </w:r>
          </w:p>
        </w:tc>
      </w:tr>
    </w:tbl>
    <w:p w:rsidR="00736E48" w:rsidRDefault="00736E48">
      <w:pPr>
        <w:spacing w:after="0"/>
      </w:pPr>
    </w:p>
    <w:p w:rsidR="00736E48" w:rsidRDefault="00F62C3A">
      <w:r>
        <w:t xml:space="preserve">Stanje dospjelih obveza na kraju izvještajnog razdoblja (šifra 007) iznosi 0,00 EUR. Osnovna škola Jakova Gotovca nema iskazanih dospjelih obveza. Sve obveze koje su iskazane  su nedospjele, odnose se na obveze za zaposlene, redovne i materijalne troškove </w:t>
      </w:r>
      <w:r>
        <w:t>za prosinac 2025. godine koji će biti podmireni u siječnju 2026. godine.</w:t>
      </w:r>
    </w:p>
    <w:p w:rsidR="00736E48" w:rsidRDefault="00736E48"/>
    <w:sectPr w:rsidR="00736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E48"/>
    <w:rsid w:val="00736E48"/>
    <w:rsid w:val="00F62C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4B947-21DC-4C91-B628-20469DD1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1504</Words>
  <Characters>8579</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korisnik00</dc:creator>
  <cp:lastModifiedBy>Matea Bušac</cp:lastModifiedBy>
  <cp:revision>2</cp:revision>
  <dcterms:created xsi:type="dcterms:W3CDTF">2026-02-10T08:39:00Z</dcterms:created>
  <dcterms:modified xsi:type="dcterms:W3CDTF">2026-02-10T08:39:00Z</dcterms:modified>
</cp:coreProperties>
</file>